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What the finished product is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Crimson in plain English</w:t>
      </w:r>
    </w:p>
    <w:p>
      <w:pPr>
        <w:pStyle w:val="Heading1"/>
      </w:pPr>
      <w:r>
        <w:rPr>
          <w:rFonts w:ascii="Calibri" w:hAnsi="Calibri"/>
          <w:color w:val="7A1F2B"/>
        </w:rPr>
        <w:t>In one paragraph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Crimson takes one business-energy case folder, sorts the papers, copies only what is written on them into a Data Bridge, lists every blank, and — when the Bridge is complete and any solicitor instructions are attached — produces a Method 1 and Method 2 figure and a plain-English quantum report. It will not invent a commission, a fair rate, or an interest rate. It will not mix a mortgage pack into an energy case.</w:t>
      </w:r>
    </w:p>
    <w:p>
      <w:pPr>
        <w:pStyle w:val="Heading1"/>
      </w:pPr>
      <w:r>
        <w:rPr>
          <w:rFonts w:ascii="Calibri" w:hAnsi="Calibri"/>
          <w:color w:val="7A1F2B"/>
        </w:rPr>
        <w:t>The named parts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Name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What it does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Crimson Extract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Agent. Reads one case folder or zip. Classifies every file. Writes the Bridge and the intake report.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Crimson Data Bridge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Excel control file: contracts, bills, document schedule, blanks and actions, assumptions, glossary.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Crimson Calculator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Turns completed Bridge rows into Method 1 (agreement cost) and Method 2 (commission).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Crimson Quantum Valuation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written report. Facts, sources, blanks, instructed assumptions. Not a CPR expert report.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Crimson Screen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short yes/no look sold to lead providers before they submit a file.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Weekly improvement log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Suggested Calculator updates. Nothing is applied to a live case until agreed.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What “finished” means for a single case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folder contains only that claimant’s energy papers.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Extract has classified every file and written the intake report.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Bridge has been checked. Blanks are either filled from a document or left blank with an action.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Any percentage used has a solicitor note on Assumptions_Import.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Imputed months, if any, are marked and instructed.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 human has ticked the Bridge as accepted (four-eyes).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Calculator and the valuation report are then run. Draft watermark off only after that tick.</w:t>
      </w:r>
    </w:p>
    <w:p>
      <w:pPr>
        <w:pStyle w:val="Heading1"/>
      </w:pPr>
      <w:r>
        <w:rPr>
          <w:rFonts w:ascii="Calibri" w:hAnsi="Calibri"/>
          <w:color w:val="7A1F2B"/>
        </w:rPr>
        <w:t>What is still calibrated as packs arrive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Automatic reading of every supplier layout. Automatic fill of the live Calculator macros. A queue of twenty separate folders. Those are upgrades to speed. They are not required to run one case today.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bosses, buyers and new colleagues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