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/>
      </w:pPr>
      <w:r>
        <w:rPr>
          <w:rFonts w:ascii="Calibri" w:hAnsi="Calibri" w:eastAsia="Calibri"/>
          <w:b/>
          <w:i w:val="0"/>
          <w:color w:val="7A1F2B"/>
          <w:sz w:val="24"/>
        </w:rPr>
        <w:t>CRIMSON HORSE</w:t>
      </w:r>
    </w:p>
    <w:p>
      <w:r>
        <w:rPr>
          <w:rFonts w:ascii="Calibri" w:hAnsi="Calibri" w:eastAsia="Calibri"/>
          <w:b/>
          <w:i w:val="0"/>
          <w:color w:val="7A1F2B"/>
          <w:sz w:val="44"/>
        </w:rPr>
        <w:t>Systems fail-safes</w:t>
      </w:r>
    </w:p>
    <w:p>
      <w:r>
        <w:rPr>
          <w:rFonts w:ascii="Calibri" w:hAnsi="Calibri" w:eastAsia="Calibri"/>
          <w:b w:val="0"/>
          <w:i w:val="0"/>
          <w:color w:val="4A4A4A"/>
          <w:sz w:val="24"/>
        </w:rPr>
        <w:t>What stops a bad number leaving the desk</w:t>
      </w:r>
    </w:p>
    <w:p>
      <w:pPr>
        <w:pStyle w:val="Heading1"/>
      </w:pPr>
      <w:r>
        <w:rPr>
          <w:rFonts w:ascii="Calibri" w:hAnsi="Calibri"/>
          <w:color w:val="7A1F2B"/>
        </w:rPr>
        <w:t>Already in the system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Fail-safe</w:t>
            </w:r>
          </w:p>
        </w:tc>
        <w:tc>
          <w:tcPr>
            <w:tcW w:type="dxa" w:w="5043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What it does</w:t>
            </w:r>
          </w:p>
        </w:tc>
      </w:tr>
      <w:tr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Classifier</w:t>
            </w:r>
          </w:p>
        </w:tc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Splits energy, mortgage, AppleDouble and other.</w:t>
            </w:r>
          </w:p>
        </w:tc>
      </w:tr>
      <w:tr>
        <w:tc>
          <w:tcPr>
            <w:tcW w:type="dxa" w:w="5043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Stream split</w:t>
            </w:r>
          </w:p>
        </w:tc>
        <w:tc>
          <w:tcPr>
            <w:tcW w:type="dxa" w:w="5043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Mortgage SAR never writes to Contracts_Import or Bills_Import.</w:t>
            </w:r>
          </w:p>
        </w:tc>
      </w:tr>
      <w:tr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Junk discard</w:t>
            </w:r>
          </w:p>
        </w:tc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._ files are listed and dropped.</w:t>
            </w:r>
          </w:p>
        </w:tc>
      </w:tr>
      <w:tr>
        <w:tc>
          <w:tcPr>
            <w:tcW w:type="dxa" w:w="5043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No-guess rule</w:t>
            </w:r>
          </w:p>
        </w:tc>
        <w:tc>
          <w:tcPr>
            <w:tcW w:type="dxa" w:w="5043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No default 15% commission or 40% uplift.</w:t>
            </w:r>
          </w:p>
        </w:tc>
      </w:tr>
      <w:tr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Review flag</w:t>
            </w:r>
          </w:p>
        </w:tc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Low confidence or missing critical dates, rates or kWh.</w:t>
            </w:r>
          </w:p>
        </w:tc>
      </w:tr>
      <w:tr>
        <w:tc>
          <w:tcPr>
            <w:tcW w:type="dxa" w:w="5043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Blanks and Actions</w:t>
            </w:r>
          </w:p>
        </w:tc>
        <w:tc>
          <w:tcPr>
            <w:tcW w:type="dxa" w:w="5043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Every blank has a why and a required action.</w:t>
            </w:r>
          </w:p>
        </w:tc>
      </w:tr>
      <w:tr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Document schedule</w:t>
            </w:r>
          </w:p>
        </w:tc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Every file is named.</w:t>
            </w:r>
          </w:p>
        </w:tc>
      </w:tr>
      <w:tr>
        <w:tc>
          <w:tcPr>
            <w:tcW w:type="dxa" w:w="5043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Nil allowed</w:t>
            </w:r>
          </w:p>
        </w:tc>
        <w:tc>
          <w:tcPr>
            <w:tcW w:type="dxa" w:w="5043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Method 1 may be recorded as nil (Roberto Ices pattern).</w:t>
            </w:r>
          </w:p>
        </w:tc>
      </w:tr>
      <w:tr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Assumption gate</w:t>
            </w:r>
          </w:p>
        </w:tc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A percentage needs author, date and filename of the solicitor note.</w:t>
            </w:r>
          </w:p>
        </w:tc>
      </w:tr>
      <w:tr>
        <w:tc>
          <w:tcPr>
            <w:tcW w:type="dxa" w:w="5043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Imputed-bill mark</w:t>
            </w:r>
          </w:p>
        </w:tc>
        <w:tc>
          <w:tcPr>
            <w:tcW w:type="dxa" w:w="5043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Reconstructed months are labelled and instructed, or they do not exist.</w:t>
            </w:r>
          </w:p>
        </w:tc>
      </w:tr>
      <w:tr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Intake report</w:t>
            </w:r>
          </w:p>
        </w:tc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Counts and gaps go back to the sender.</w:t>
            </w:r>
          </w:p>
        </w:tc>
      </w:tr>
      <w:tr>
        <w:tc>
          <w:tcPr>
            <w:tcW w:type="dxa" w:w="5043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Brand / licence line</w:t>
            </w:r>
          </w:p>
        </w:tc>
        <w:tc>
          <w:tcPr>
            <w:tcW w:type="dxa" w:w="5043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Outputs say who the seat belongs to.</w:t>
            </w:r>
          </w:p>
        </w:tc>
      </w:tr>
    </w:tbl>
    <w:p/>
    <w:p>
      <w:pPr>
        <w:pStyle w:val="Heading1"/>
      </w:pPr>
      <w:r>
        <w:rPr>
          <w:rFonts w:ascii="Calibri" w:hAnsi="Calibri"/>
          <w:color w:val="7A1F2B"/>
        </w:rPr>
        <w:t>Standing rules for the operator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Fail-safe</w:t>
            </w:r>
          </w:p>
        </w:tc>
        <w:tc>
          <w:tcPr>
            <w:tcW w:type="dxa" w:w="5043"/>
            <w:shd w:fill="7A1F2B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/>
                <w:i w:val="0"/>
                <w:color w:val="FFFFFF"/>
                <w:sz w:val="20"/>
              </w:rPr>
              <w:t>What it does</w:t>
            </w:r>
          </w:p>
        </w:tc>
      </w:tr>
      <w:tr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Case lock</w:t>
            </w:r>
          </w:p>
        </w:tc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One folder, one case ID. Files without that ID are held for review.</w:t>
            </w:r>
          </w:p>
        </w:tc>
      </w:tr>
      <w:tr>
        <w:tc>
          <w:tcPr>
            <w:tcW w:type="dxa" w:w="5043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Four-eyes</w:t>
            </w:r>
          </w:p>
        </w:tc>
        <w:tc>
          <w:tcPr>
            <w:tcW w:type="dxa" w:w="5043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Extract writes draft. A second person ticks Bridge accepted before Calculator.</w:t>
            </w:r>
          </w:p>
        </w:tc>
      </w:tr>
      <w:tr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Output lock</w:t>
            </w:r>
          </w:p>
        </w:tc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Method 2 is not printed if commission is blank and there is no note.</w:t>
            </w:r>
          </w:p>
        </w:tc>
      </w:tr>
      <w:tr>
        <w:tc>
          <w:tcPr>
            <w:tcW w:type="dxa" w:w="5043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Sense check</w:t>
            </w:r>
          </w:p>
        </w:tc>
        <w:tc>
          <w:tcPr>
            <w:tcW w:type="dxa" w:w="5043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Sum of bill kWh versus EAC × years. Out of range is a warning, not a silent fix.</w:t>
            </w:r>
          </w:p>
        </w:tc>
      </w:tr>
      <w:tr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MPAN check</w:t>
            </w:r>
          </w:p>
        </w:tc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Format check. Same MPAN in two live cases is blocked.</w:t>
            </w:r>
          </w:p>
        </w:tc>
      </w:tr>
      <w:tr>
        <w:tc>
          <w:tcPr>
            <w:tcW w:type="dxa" w:w="5043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File fingerprint</w:t>
            </w:r>
          </w:p>
        </w:tc>
        <w:tc>
          <w:tcPr>
            <w:tcW w:type="dxa" w:w="5043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A later swap of a source PDF is visible.</w:t>
            </w:r>
          </w:p>
        </w:tc>
      </w:tr>
      <w:tr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Run log</w:t>
            </w:r>
          </w:p>
        </w:tc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Who, when, which folder, which instruction notes.</w:t>
            </w:r>
          </w:p>
        </w:tc>
      </w:tr>
      <w:tr>
        <w:tc>
          <w:tcPr>
            <w:tcW w:type="dxa" w:w="5043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Replay</w:t>
            </w:r>
          </w:p>
        </w:tc>
        <w:tc>
          <w:tcPr>
            <w:tcW w:type="dxa" w:w="5043"/>
            <w:shd w:fill="F7F2F3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Optional second extract; differences go to an exceptions sheet.</w:t>
            </w:r>
          </w:p>
        </w:tc>
      </w:tr>
      <w:tr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Offline mode</w:t>
            </w:r>
          </w:p>
        </w:tc>
        <w:tc>
          <w:tcPr>
            <w:tcW w:type="dxa" w:w="5043"/>
            <w:shd w:fill="FFFFFF" w:val="clear"/>
          </w:tcPr>
          <w:p>
            <w:pPr>
              <w:spacing w:after="40" w:before="40"/>
            </w:pPr>
            <w:r/>
            <w:r>
              <w:rPr>
                <w:rFonts w:ascii="Calibri" w:hAnsi="Calibri" w:eastAsia="Calibri"/>
                <w:b w:val="0"/>
                <w:i w:val="0"/>
                <w:color w:val="1A1A1A"/>
                <w:sz w:val="18"/>
              </w:rPr>
              <w:t>No network is required to produce a Bridge or a report.</w:t>
            </w:r>
          </w:p>
        </w:tc>
      </w:tr>
    </w:tbl>
    <w:p/>
    <w:p>
      <w:pPr>
        <w:pStyle w:val="Heading1"/>
      </w:pPr>
      <w:r>
        <w:rPr>
          <w:rFonts w:ascii="Calibri" w:hAnsi="Calibri"/>
          <w:color w:val="7A1F2B"/>
        </w:rPr>
        <w:t>The chain</w:t>
      </w:r>
    </w:p>
    <w:p>
      <w:pPr>
        <w:spacing w:after="160"/>
      </w:pPr>
      <w:r>
        <w:rPr>
          <w:rFonts w:ascii="Calibri" w:hAnsi="Calibri" w:eastAsia="Calibri"/>
          <w:b w:val="0"/>
          <w:i w:val="0"/>
          <w:color w:val="1A1A1A"/>
          <w:sz w:val="22"/>
        </w:rPr>
        <w:t>A number does not leave draft unless the page, the Bridge, the instruction note and the human tick all agree. If any link is missing, the figure stays a draft.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74" w:right="1077" w:bottom="1020" w:left="1077" w:header="283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Calibri" w:hAnsi="Calibri" w:eastAsia="Calibri"/>
        <w:b w:val="0"/>
        <w:i w:val="0"/>
        <w:color w:val="4A4A4A"/>
        <w:sz w:val="16"/>
      </w:rPr>
      <w:t>For risk, operators and buyers  ·  18 August 2026  ·  Not legal advice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/>
    <w:r>
      <w:rPr>
        <w:rFonts w:ascii="Calibri" w:hAnsi="Calibri" w:eastAsia="Calibri"/>
        <w:b/>
        <w:i w:val="0"/>
        <w:color w:val="7A1F2B"/>
        <w:sz w:val="18"/>
      </w:rPr>
      <w:t xml:space="preserve">    CRIMSON HORSE  ·  rollout note</w:t>
    </w:r>
    <w:r>
      <w:drawing>
        <wp:inline xmlns:a="http://schemas.openxmlformats.org/drawingml/2006/main" xmlns:pic="http://schemas.openxmlformats.org/drawingml/2006/picture">
          <wp:extent cx="335101" cy="50292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5101" cy="50292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