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/>
      </w:pPr>
      <w:r>
        <w:rPr>
          <w:rFonts w:ascii="Calibri" w:hAnsi="Calibri" w:eastAsia="Calibri"/>
          <w:b/>
          <w:i w:val="0"/>
          <w:color w:val="7A1F2B"/>
          <w:sz w:val="24"/>
        </w:rPr>
        <w:t>CRIMSON HORSE</w:t>
      </w:r>
    </w:p>
    <w:p>
      <w:r>
        <w:rPr>
          <w:rFonts w:ascii="Calibri" w:hAnsi="Calibri" w:eastAsia="Calibri"/>
          <w:b/>
          <w:i w:val="0"/>
          <w:color w:val="7A1F2B"/>
          <w:sz w:val="44"/>
        </w:rPr>
        <w:t>Solicitor-instructed commission and interest</w:t>
      </w:r>
    </w:p>
    <w:p>
      <w:r>
        <w:rPr>
          <w:rFonts w:ascii="Calibri" w:hAnsi="Calibri" w:eastAsia="Calibri"/>
          <w:b w:val="0"/>
          <w:i w:val="0"/>
          <w:color w:val="4A4A4A"/>
          <w:sz w:val="24"/>
        </w:rPr>
        <w:t>What the instruction must contain, and which papers must sit with it</w:t>
      </w:r>
    </w:p>
    <w:p>
      <w:pPr>
        <w:pStyle w:val="Heading1"/>
      </w:pPr>
      <w:r>
        <w:rPr>
          <w:rFonts w:ascii="Calibri" w:hAnsi="Calibri"/>
          <w:color w:val="7A1F2B"/>
        </w:rPr>
        <w:t>Purpose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Crimson does not invent a commission percentage, an interest rate, or any other uplift. If a figure is to be used, it is used because the instructing solicitor has said so in writing. This note is the rule for that instruction.</w:t>
      </w:r>
    </w:p>
    <w:p>
      <w:pPr>
        <w:pStyle w:val="Heading1"/>
      </w:pPr>
      <w:r>
        <w:rPr>
          <w:rFonts w:ascii="Calibri" w:hAnsi="Calibri"/>
          <w:color w:val="7A1F2B"/>
        </w:rPr>
        <w:t>The three things that must be present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A percentage or rate is entered only when all three exist: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A written formal note from the solicitor (a letter or a clear email is enough).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The exact figure, the method it applies to, and the case it applies to.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A visible notation in the Data Bridge and in the report, next to the number, stating that this is an instructed assumption and not a fact taken from the energy contract.</w:t>
      </w:r>
    </w:p>
    <w:p>
      <w:pPr>
        <w:pStyle w:val="Heading1"/>
      </w:pPr>
      <w:r>
        <w:rPr>
          <w:rFonts w:ascii="Calibri" w:hAnsi="Calibri"/>
          <w:color w:val="7A1F2B"/>
        </w:rPr>
        <w:t>What the written note must say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Field</w:t>
            </w:r>
          </w:p>
        </w:tc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Required content</w:t>
            </w:r>
          </w:p>
        </w:tc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Example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Case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The client and supplier, or the internal case ID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Bocacina Limited / British Gas / AI156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Kind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What is being instructed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commission_pct  or  statutory_interest_pct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Value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The figure and the basis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12% of estimated contract value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Interest basis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If interest: simple or compounding, start date, on which heads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8% simple from each invoice date to the assessment date, on Method 1 overpayment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Author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Name and firm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 N Other, Example Solicitors LLP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Date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Date of the note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18 August 2026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File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The filename of the note as stored in the case folder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Solicitor_instruction_commission.pdf</w:t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7A1F2B"/>
        </w:rPr>
        <w:t>Documentary needs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Keep the instruction in the same case folder as the energy papers. Suggested name: Solicitor_instruction_[kind]_[date].pdf or .docx.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The note itself (PDF or Word).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If the figure comes from disclosure by the supplier or broker, attach that letter as well. The solicitor note still has to say that this is the figure to use.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Do not rely on an old Forenzix or screening report’s 15% or 8% unless the solicitor’s new note adopts that figure for this case.</w:t>
      </w:r>
    </w:p>
    <w:p>
      <w:pPr>
        <w:pStyle w:val="Heading1"/>
      </w:pPr>
      <w:r>
        <w:rPr>
          <w:rFonts w:ascii="Calibri" w:hAnsi="Calibri"/>
          <w:color w:val="7A1F2B"/>
        </w:rPr>
        <w:t>How it is recorded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The operator (or Extract, if the note is supplied as instruction.json) writes one row on the Assumptions_Import sheet. That sheet is the same place as imputed-bill instructions and any fair-rate instruction. The notation printed next to the figure is of this form:</w:t>
      </w:r>
    </w:p>
    <w:p>
      <w:pPr>
        <w:spacing w:after="160"/>
      </w:pPr>
      <w:r>
        <w:rPr>
          <w:rFonts w:ascii="Calibri" w:hAnsi="Calibri" w:eastAsia="Calibri"/>
          <w:b w:val="0"/>
          <w:i/>
          <w:color w:val="1A1A1A"/>
          <w:sz w:val="22"/>
        </w:rPr>
        <w:t>“commission_pct = 12 is entered solely on the written instruction of [solicitor], note dated [date], file [name]. It is not taken from the supply contract or bills. If that instruction is withdrawn, this figure is removed.”</w:t>
      </w:r>
    </w:p>
    <w:p>
      <w:pPr>
        <w:pStyle w:val="Heading1"/>
      </w:pPr>
      <w:r>
        <w:rPr>
          <w:rFonts w:ascii="Calibri" w:hAnsi="Calibri"/>
          <w:color w:val="7A1F2B"/>
        </w:rPr>
        <w:t>Interest rates of 2, 4, 6 or 8 percent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The Calculator can hold any instructed rate. Common discussion in the files already reviewed used 8% simple. None of 2%, 4%, 6% or 8% is switched on because an old report used it. The solicitor’s note must say the rate, the basis, and the start date.</w:t>
      </w:r>
    </w:p>
    <w:p>
      <w:pPr>
        <w:pStyle w:val="Heading1"/>
      </w:pPr>
      <w:r>
        <w:rPr>
          <w:rFonts w:ascii="Calibri" w:hAnsi="Calibri"/>
          <w:color w:val="7A1F2B"/>
        </w:rPr>
        <w:t>What happens if the note is missing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The field stays blank. Method 2 is not printed as a money figure. Interest is not added. The intake report lists the missing instruction. That is not a refusal of the case. It is a pause on that figure.</w:t>
      </w:r>
    </w:p>
    <w:p>
      <w:pPr>
        <w:pStyle w:val="Heading1"/>
      </w:pPr>
      <w:r>
        <w:rPr>
          <w:rFonts w:ascii="Calibri" w:hAnsi="Calibri"/>
          <w:color w:val="7A1F2B"/>
        </w:rPr>
        <w:t>Who this is for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Give this note to instructing solicitors with the first case. Give it to operators as a standing rule. It is not legal advice on which rate to choose.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74" w:right="1077" w:bottom="1020" w:left="1077" w:header="28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 w:eastAsia="Calibri"/>
        <w:b w:val="0"/>
        <w:i w:val="0"/>
        <w:color w:val="4A4A4A"/>
        <w:sz w:val="16"/>
      </w:rPr>
      <w:t>For solicitors, operators and instructing clients  ·  18 August 2026  ·  Not legal advice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Calibri" w:hAnsi="Calibri" w:eastAsia="Calibri"/>
        <w:b/>
        <w:i w:val="0"/>
        <w:color w:val="7A1F2B"/>
        <w:sz w:val="18"/>
      </w:rPr>
      <w:t xml:space="preserve">    CRIMSON HORSE  ·  rollout note</w:t>
    </w:r>
    <w:r>
      <w:drawing>
        <wp:inline xmlns:a="http://schemas.openxmlformats.org/drawingml/2006/main" xmlns:pic="http://schemas.openxmlformats.org/drawingml/2006/picture">
          <wp:extent cx="335101" cy="5029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101" cy="5029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