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/>
      </w:pPr>
      <w:r>
        <w:rPr>
          <w:rFonts w:ascii="Calibri" w:hAnsi="Calibri" w:eastAsia="Calibri"/>
          <w:b/>
          <w:i w:val="0"/>
          <w:color w:val="7A1F2B"/>
          <w:sz w:val="24"/>
        </w:rPr>
        <w:t>CRIMSON HORSE</w:t>
      </w:r>
    </w:p>
    <w:p>
      <w:r>
        <w:rPr>
          <w:rFonts w:ascii="Calibri" w:hAnsi="Calibri" w:eastAsia="Calibri"/>
          <w:b/>
          <w:i w:val="0"/>
          <w:color w:val="7A1F2B"/>
          <w:sz w:val="44"/>
        </w:rPr>
        <w:t>Rollout pack — index</w:t>
      </w:r>
    </w:p>
    <w:p>
      <w:r>
        <w:rPr>
          <w:rFonts w:ascii="Calibri" w:hAnsi="Calibri" w:eastAsia="Calibri"/>
          <w:b w:val="0"/>
          <w:i w:val="0"/>
          <w:color w:val="4A4A4A"/>
          <w:sz w:val="24"/>
        </w:rPr>
        <w:t>Twelve notes you can issue without rewriting them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Hand the numbered file to the person in the audience column. Do not send the whole pack to a lead provider — send 11 and 12, and 04 after a run. Send 01 and 02 to instructing solicitors. Send 06, 08, 09 and 03 to a buyer.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No.</w:t>
            </w:r>
          </w:p>
        </w:tc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Document</w:t>
            </w:r>
          </w:p>
        </w:tc>
        <w:tc>
          <w:tcPr>
            <w:tcW w:type="dxa" w:w="3362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First audience</w:t>
            </w:r>
          </w:p>
        </w:tc>
      </w:tr>
      <w:tr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01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Solicitor-instructed commission and interest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Solicitors</w:t>
            </w:r>
          </w:p>
        </w:tc>
      </w:tr>
      <w:tr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02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Imputed bills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Solicitors</w:t>
            </w:r>
          </w:p>
        </w:tc>
      </w:tr>
      <w:tr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03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Rebranding, passwords and copying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Buyers / IT</w:t>
            </w:r>
          </w:p>
        </w:tc>
      </w:tr>
      <w:tr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04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Post-upload intake report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Operators</w:t>
            </w:r>
          </w:p>
        </w:tc>
      </w:tr>
      <w:tr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05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Catalogue of Crimson documents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Colleagues</w:t>
            </w:r>
          </w:p>
        </w:tc>
      </w:tr>
      <w:tr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06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What the finished product is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Bosses / buyers</w:t>
            </w:r>
          </w:p>
        </w:tc>
      </w:tr>
      <w:tr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07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How one-case mode works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Operators</w:t>
            </w:r>
          </w:p>
        </w:tc>
      </w:tr>
      <w:tr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08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Benefits of one-case mode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Bosses</w:t>
            </w:r>
          </w:p>
        </w:tc>
      </w:tr>
      <w:tr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09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Pricing suggestions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Sales</w:t>
            </w:r>
          </w:p>
        </w:tc>
      </w:tr>
      <w:tr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10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Systems fail-safes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Risk</w:t>
            </w:r>
          </w:p>
        </w:tc>
      </w:tr>
      <w:tr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11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Crimson Screen</w:t>
            </w:r>
          </w:p>
        </w:tc>
        <w:tc>
          <w:tcPr>
            <w:tcW w:type="dxa" w:w="3362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Lead providers / sales</w:t>
            </w:r>
          </w:p>
        </w:tc>
      </w:tr>
      <w:tr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12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Documents for one case</w:t>
            </w:r>
          </w:p>
        </w:tc>
        <w:tc>
          <w:tcPr>
            <w:tcW w:type="dxa" w:w="3362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Lead providers / clients</w:t>
            </w:r>
          </w:p>
        </w:tc>
      </w:tr>
    </w:tbl>
    <w:p/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Missing bills and white-label branding are built. They stay off until a solicitor note (for imputation) or a brand.json (for the client name) is supplied.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74" w:right="1077" w:bottom="1020" w:left="1077" w:header="283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Calibri" w:hAnsi="Calibri" w:eastAsia="Calibri"/>
        <w:b w:val="0"/>
        <w:i w:val="0"/>
        <w:color w:val="4A4A4A"/>
        <w:sz w:val="16"/>
      </w:rPr>
      <w:t>For everyone  ·  18 August 2026  ·  Not legal advice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/>
    <w:r>
      <w:rPr>
        <w:rFonts w:ascii="Calibri" w:hAnsi="Calibri" w:eastAsia="Calibri"/>
        <w:b/>
        <w:i w:val="0"/>
        <w:color w:val="7A1F2B"/>
        <w:sz w:val="18"/>
      </w:rPr>
      <w:t xml:space="preserve">    CRIMSON HORSE  ·  rollout note</w:t>
    </w:r>
    <w:r>
      <w:drawing>
        <wp:inline xmlns:a="http://schemas.openxmlformats.org/drawingml/2006/main" xmlns:pic="http://schemas.openxmlformats.org/drawingml/2006/picture">
          <wp:extent cx="335101" cy="5029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5101" cy="5029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