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Rebranding, passwords and copying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How a client can have their name on the work, and what can honestly be locked</w:t>
      </w:r>
    </w:p>
    <w:p>
      <w:pPr>
        <w:pStyle w:val="Heading1"/>
      </w:pPr>
      <w:r>
        <w:rPr>
          <w:rFonts w:ascii="Calibri" w:hAnsi="Calibri"/>
          <w:color w:val="7A1F2B"/>
        </w:rPr>
        <w:t>Status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White-label branding is now built. Each install can load a brand.json file. The engine stays Crimson so support and upgrades remain one lineage. The cover, header colour, footer, filename prefix and licence line carry the buyer’s name.</w:t>
      </w:r>
    </w:p>
    <w:p>
      <w:pPr>
        <w:pStyle w:val="Heading1"/>
      </w:pPr>
      <w:r>
        <w:rPr>
          <w:rFonts w:ascii="Calibri" w:hAnsi="Calibri"/>
          <w:color w:val="7A1F2B"/>
        </w:rPr>
        <w:t>What changes for a branded client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Item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the client sees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stays Crimson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Report cover and footer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Client name and their colour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Method, blanks rule, glossary lineage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Data Bridge header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Client colour and licence holder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Sheet names and field list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Intake report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“prepared for [firm]”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count of files and gaps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Filenames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ExampleSolicitors_Bridge_…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case ID and the stamp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Calculator maths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Unchanged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Crimson Calculator engine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How to apply a brand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Copy brand.example.json, change the name, short name, colours and licence fields, and pass it when Extract runs. A one-off white-label extra covers setting the first brand and checking a sample report. Later colour or name changes are a configuration change, not a new product.</w:t>
      </w:r>
    </w:p>
    <w:p>
      <w:pPr>
        <w:pStyle w:val="Heading1"/>
      </w:pPr>
      <w:r>
        <w:rPr>
          <w:rFonts w:ascii="Calibri" w:hAnsi="Calibri"/>
          <w:color w:val="7A1F2B"/>
        </w:rPr>
        <w:t>Protection — what we do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Control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it is for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Limit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Licence name burned into Bridge and report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leaked file still says who it belongs to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Does not stop a screenshot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Operator login on the Agent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Named person on the run log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Needs the firm to keep passwords private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Workbook open / modify password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Stops casual opening or editing of the Calculator and Bridge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determined person with the file can still attack an Office password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Licence key on that PC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The install is meant for that desk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cloned disk can copy a desktop tool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Draft watermark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Stops a draft being treated as accepted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Must be removed only after the four-eyes tick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 source code in the operator install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Harder to copy the method casually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Not a claim that the method cannot be observed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Run log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Who ran Extract, when, which folder, which instruction notes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Needs the firm not to share logins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What must not be promised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No desktop tool is safe from a determined copyist who has the machine. Passwords and licence keys stop casual sharing and make a leaked copy traceable. They do not make the system unhackable. Crimson will not claim that. The honest product is: named, logged, hard to share casually, easy to revoke.</w:t>
      </w:r>
    </w:p>
    <w:p>
      <w:pPr>
        <w:pStyle w:val="Heading1"/>
      </w:pPr>
      <w:r>
        <w:rPr>
          <w:rFonts w:ascii="Calibri" w:hAnsi="Calibri"/>
          <w:color w:val="7A1F2B"/>
        </w:rPr>
        <w:t>Revocation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If a seat is withdrawn, the licence line is changed or the key is not renewed. Existing case files already issued stay as they were — they are work product. New runs on that seat stop.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buyers, IT and managing partners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