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Pricing suggestions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Seats, pods, Screen, and a branded client name on the report</w:t>
      </w:r>
    </w:p>
    <w:p>
      <w:pPr>
        <w:pStyle w:val="Heading1"/>
      </w:pPr>
      <w:r>
        <w:rPr>
          <w:rFonts w:ascii="Calibri" w:hAnsi="Calibri"/>
          <w:color w:val="7A1F2B"/>
        </w:rPr>
        <w:t>This is a suggestion, not a quote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buyer is a solicitor firm or a lead provider that already spends analyst time on each file. A checked energy quantum on a stand-alone PC is the unit of value.</w:t>
      </w:r>
    </w:p>
    <w:p>
      <w:pPr>
        <w:pStyle w:val="Heading1"/>
      </w:pPr>
      <w:r>
        <w:rPr>
          <w:rFonts w:ascii="Calibri" w:hAnsi="Calibri"/>
          <w:color w:val="7A1F2B"/>
        </w:rPr>
        <w:t>Suggested bands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Model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Suggested range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they get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Single-seat licence (one PC)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£18,000–£28,000 year one, then £6,000–£9,000 a year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Extract, Bridge, Calculator, report templates, one week of set-up, weekly log.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Five-seat pod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£55,000–£75,000 year one, then £18,000–£25,000 a year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Five locked installs, shared assumption protocol, central run-log format, priority layout updates.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Per accepted Bridge (optional extra)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£75–£150, or a monthly cap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Drafts that fail the output lock are not charged.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White-label extra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£4,000–£8,000 one-off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Buyer’s name and colours on Extract, Bridge and report. Engine remains Crimson.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Screen, sold on its own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£6,000–£10,000 a year per seat, or £25–£40 per screening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Yes/no look for lead providers before they submit.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What the branded report amendment includes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Client name on the cover, header and footer.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Client colour on table headers.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Licence holder line on the Bridge summary.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Filename prefix in the client’s short name.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sample branded intake report and a sample branded valuation cover for sign-off before go-live.</w:t>
      </w:r>
    </w:p>
    <w:p>
      <w:pPr>
        <w:pStyle w:val="Heading1"/>
      </w:pPr>
      <w:r>
        <w:rPr>
          <w:rFonts w:ascii="Calibri" w:hAnsi="Calibri"/>
          <w:color w:val="7A1F2B"/>
        </w:rPr>
        <w:t>Why this band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One avoided wrong-quantum file, or a few hours saved on each of a few hundred files, pays for a seat. Pricing below £10,000 a seat under-sells the risk taken out of the file. Pricing above £40,000 a seat for a first version will slow the first five-desk rollout. Review after 90 days of live one-case use.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sales and managing partners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