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/>
      </w:pPr>
      <w:r>
        <w:rPr>
          <w:rFonts w:ascii="Calibri" w:hAnsi="Calibri" w:eastAsia="Calibri"/>
          <w:b/>
          <w:i w:val="0"/>
          <w:color w:val="7A1F2B"/>
          <w:sz w:val="24"/>
        </w:rPr>
        <w:t>CRIMSON HORSE</w:t>
      </w:r>
    </w:p>
    <w:p>
      <w:r>
        <w:rPr>
          <w:rFonts w:ascii="Calibri" w:hAnsi="Calibri" w:eastAsia="Calibri"/>
          <w:b/>
          <w:i w:val="0"/>
          <w:color w:val="7A1F2B"/>
          <w:sz w:val="44"/>
        </w:rPr>
        <w:t>The post-upload intake report</w:t>
      </w:r>
    </w:p>
    <w:p>
      <w:r>
        <w:rPr>
          <w:rFonts w:ascii="Calibri" w:hAnsi="Calibri" w:eastAsia="Calibri"/>
          <w:b w:val="0"/>
          <w:i w:val="0"/>
          <w:color w:val="4A4A4A"/>
          <w:sz w:val="24"/>
        </w:rPr>
        <w:t>What arrived, how many pages, and what is still missing</w:t>
      </w:r>
    </w:p>
    <w:p>
      <w:pPr>
        <w:pStyle w:val="Heading1"/>
      </w:pPr>
      <w:r>
        <w:rPr>
          <w:rFonts w:ascii="Calibri" w:hAnsi="Calibri"/>
          <w:color w:val="7A1F2B"/>
        </w:rPr>
        <w:t>Status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This report is now written automatically after every one-case run. It is not a quantum. It is a count of the papers and a list of gaps.</w:t>
      </w:r>
    </w:p>
    <w:p>
      <w:pPr>
        <w:pStyle w:val="Heading1"/>
      </w:pPr>
      <w:r>
        <w:rPr>
          <w:rFonts w:ascii="Calibri" w:hAnsi="Calibri"/>
          <w:color w:val="7A1F2B"/>
        </w:rPr>
        <w:t>What it contains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Case ID, date and time, and the brand line.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How many supported files arrived.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How many were energy contracts, bills, letters of authority, quotes, emails, earlier reports.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How many mortgage files were held out.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How many AppleDouble or junk files were discarded.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PDF page counts where the file can be read.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How many solicitor instructions were attached.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How many imputed bill rows were created (zero unless instructed).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A file-by-file list: name, type, stream, pages.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A plain list of what is still needed for a first look.</w:t>
      </w:r>
    </w:p>
    <w:p>
      <w:pPr>
        <w:pStyle w:val="Heading1"/>
      </w:pPr>
      <w:r>
        <w:rPr>
          <w:rFonts w:ascii="Calibri" w:hAnsi="Calibri"/>
          <w:color w:val="7A1F2B"/>
        </w:rPr>
        <w:t>How to use it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Send it back to the lead provider or the solicitor the same day. It is the conversation starter: “we have the contract and twelve bills; we still need the LOA; no commission figure is on the papers.” Internally it is the first page of the case file.</w:t>
      </w:r>
    </w:p>
    <w:p>
      <w:pPr>
        <w:pStyle w:val="Heading1"/>
      </w:pPr>
      <w:r>
        <w:rPr>
          <w:rFonts w:ascii="Calibri" w:hAnsi="Calibri"/>
          <w:color w:val="7A1F2B"/>
        </w:rPr>
        <w:t>What it will not do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It will not estimate a claim value.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It will not invent a missing rate because the file count looks thin.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It will not treat a mortgage pack as energy papers.</w:t>
      </w:r>
    </w:p>
    <w:p>
      <w:pPr>
        <w:pStyle w:val="Heading1"/>
      </w:pPr>
      <w:r>
        <w:rPr>
          <w:rFonts w:ascii="Calibri" w:hAnsi="Calibri"/>
          <w:color w:val="7A1F2B"/>
        </w:rPr>
        <w:t>Where it is saved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Next to the Data Bridge, named [Brand]_Intake_[CaseID]_[stamp].docx. A short version of the same counts also sits on the Batch_Summary sheet of the Bridge.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74" w:right="1077" w:bottom="1020" w:left="1077" w:header="28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b w:val="0"/>
        <w:i w:val="0"/>
        <w:color w:val="4A4A4A"/>
        <w:sz w:val="16"/>
      </w:rPr>
      <w:t>For operators, lead providers and solicitors  ·  18 August 2026  ·  Not legal advice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 w:eastAsia="Calibri"/>
        <w:b/>
        <w:i w:val="0"/>
        <w:color w:val="7A1F2B"/>
        <w:sz w:val="18"/>
      </w:rPr>
      <w:t xml:space="preserve">    CRIMSON HORSE  ·  rollout note</w:t>
    </w:r>
    <w:r>
      <w:drawing>
        <wp:inline xmlns:a="http://schemas.openxmlformats.org/drawingml/2006/main" xmlns:pic="http://schemas.openxmlformats.org/drawingml/2006/picture">
          <wp:extent cx="335101" cy="5029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101" cy="5029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