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Missing bills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Reconstructing missing months from EAC — only with solicitor agreement</w:t>
      </w:r>
    </w:p>
    <w:p>
      <w:pPr>
        <w:pStyle w:val="Heading1"/>
      </w:pPr>
      <w:r>
        <w:rPr>
          <w:rFonts w:ascii="Calibri" w:hAnsi="Calibri"/>
          <w:color w:val="7A1F2B"/>
        </w:rPr>
        <w:t>Status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This capability is now built. It sits in the same place as commission and interest: the Assumptions_Import sheet, behind a solicitor instruction. It is off until that instruction arrives.</w:t>
      </w:r>
    </w:p>
    <w:p>
      <w:pPr>
        <w:pStyle w:val="Heading1"/>
      </w:pPr>
      <w:r>
        <w:rPr>
          <w:rFonts w:ascii="Calibri" w:hAnsi="Calibri"/>
          <w:color w:val="7A1F2B"/>
        </w:rPr>
        <w:t>What an imputed bill is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When some months of the claimed period have no invoice, the solicitor may instruct Crimson to reconstruct those months from the contract’s estimated annual consumption (EAC). Each reconstructed month is a row on Bills_Import. It is marked IMPUTED. It is never mixed silently into “actual billed” totals.</w:t>
      </w:r>
    </w:p>
    <w:p>
      <w:pPr>
        <w:pStyle w:val="Heading1"/>
      </w:pPr>
      <w:r>
        <w:rPr>
          <w:rFonts w:ascii="Calibri" w:hAnsi="Calibri"/>
          <w:color w:val="7A1F2B"/>
        </w:rPr>
        <w:t>What the solicitor must agree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same three-part rule as commission and interest: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A written note that imputed months from EAC may be used on this case.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The case ID, the date of the note, and the filename of the note.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A notation on every imputed row and in the report.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Suggested wording for the solicitor note:</w:t>
      </w:r>
    </w:p>
    <w:p>
      <w:pPr>
        <w:spacing w:after="160"/>
      </w:pPr>
      <w:r>
        <w:rPr>
          <w:rFonts w:ascii="Calibri" w:hAnsi="Calibri" w:eastAsia="Calibri"/>
          <w:b w:val="0"/>
          <w:i/>
          <w:color w:val="1A1A1A"/>
          <w:sz w:val="22"/>
        </w:rPr>
        <w:t>“On case [ID], please reconstruct any month in the contracted period that has no actual bill, using the EAC printed on the contract, pro-rated by days. Mark every such row as imputed. Do not invent a bill total in pounds or a fair rate.”</w:t>
      </w:r>
    </w:p>
    <w:p>
      <w:pPr>
        <w:pStyle w:val="Heading1"/>
      </w:pPr>
      <w:r>
        <w:rPr>
          <w:rFonts w:ascii="Calibri" w:hAnsi="Calibri"/>
          <w:color w:val="7A1F2B"/>
        </w:rPr>
        <w:t>What the system does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Checks that the instruction exists (kind: impute_bills_from_eac) with author, date and file.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Checks that the contract has a start date, an end date (or actual end) and an EAC.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Finds months already covered by an actual bill and leaves them alone.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For each uncovered month, writes one row: daily EAC × number of days in that month.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Copies standing charge from the contract if it is present. Does not invent a £ invoice total.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Sets Review_Flag and prints the solicitor notation on the row.</w:t>
      </w:r>
    </w:p>
    <w:p>
      <w:pPr>
        <w:pStyle w:val="Heading1"/>
      </w:pPr>
      <w:r>
        <w:rPr>
          <w:rFonts w:ascii="Calibri" w:hAnsi="Calibri"/>
          <w:color w:val="7A1F2B"/>
        </w:rPr>
        <w:t>What it will not do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run because bills are missing. Missing bills stay missing until the note arrives.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invent a fair rate or a commission to go with the imputed kWh.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treat imputed kWh as billed kWh in the report narrative.</w:t>
      </w:r>
    </w:p>
    <w:p>
      <w:pPr>
        <w:pStyle w:val="ListBullet"/>
        <w:spacing w:after="60"/>
      </w:pPr>
      <w:r>
        <w:rPr>
          <w:rFonts w:ascii="Calibri" w:hAnsi="Calibri" w:eastAsia="Calibri"/>
          <w:b w:val="0"/>
          <w:i w:val="0"/>
          <w:color w:val="1A1A1A"/>
          <w:sz w:val="22"/>
        </w:rPr>
        <w:t>It will not impute if start date, end date or EAC is blank. That gap is listed on Blanks and Actions.</w:t>
      </w:r>
    </w:p>
    <w:p>
      <w:pPr>
        <w:pStyle w:val="Heading1"/>
      </w:pPr>
      <w:r>
        <w:rPr>
          <w:rFonts w:ascii="Calibri" w:hAnsi="Calibri"/>
          <w:color w:val="7A1F2B"/>
        </w:rPr>
        <w:t>Where it lives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Instruction: Assumptions_Import, same sheet as commission and statutory interest. Rows: Bills_Import, columns Imputed, Imputation_Basis, Instruction_Ref. The intake report counts how many imputed months were created.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solicitors, operators and instructing clients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