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/>
      </w:pPr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How one-case mode works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The production path for every file</w:t>
      </w:r>
    </w:p>
    <w:p>
      <w:pPr>
        <w:pStyle w:val="Heading1"/>
      </w:pPr>
      <w:r>
        <w:rPr>
          <w:rFonts w:ascii="Calibri" w:hAnsi="Calibri"/>
          <w:color w:val="7A1F2B"/>
        </w:rPr>
        <w:t>The rule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One claimant, one supplier matter, one folder. Everything in that folder is treated as that case unless Extract rejects it.</w:t>
      </w:r>
    </w:p>
    <w:p>
      <w:pPr>
        <w:pStyle w:val="Heading1"/>
      </w:pPr>
      <w:r>
        <w:rPr>
          <w:rFonts w:ascii="Calibri" w:hAnsi="Calibri"/>
          <w:color w:val="7A1F2B"/>
        </w:rPr>
        <w:t>Folder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Name it: Crimson_Case_&lt;ID&gt;_&lt;Company&gt;_&lt;Supplier&gt;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Example: Crimson_Case_AI156_Bocacina_BritishGas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Put only that case’s contract or welcome letter, bills, LOA, emails, earlier report, and any solicitor instruction note inside it.</w:t>
      </w:r>
    </w:p>
    <w:p>
      <w:pPr>
        <w:pStyle w:val="Heading1"/>
      </w:pPr>
      <w:r>
        <w:rPr>
          <w:rFonts w:ascii="Calibri" w:hAnsi="Calibri"/>
          <w:color w:val="7A1F2B"/>
        </w:rPr>
        <w:t>What Extract does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Reads every supported file in the folder (or zip).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Classifies: energy contract, bill, LOA, quote, report, email, mortgage, AppleDouble, other.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Holds mortgage and junk out of the Bridge.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Counts PDF pages where it can.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Writes one Data Bridge for that case.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Writes one intake report: counts, file list, missing items.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If a solicitor instruction JSON is attached, writes Assumptions_Import and, if instructed, imputed months.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Stops before inventing a rate. Method 2 is not printed if commission is blank and there is no note.</w:t>
      </w:r>
    </w:p>
    <w:p>
      <w:pPr>
        <w:pStyle w:val="Heading1"/>
      </w:pPr>
      <w:r>
        <w:rPr>
          <w:rFonts w:ascii="Calibri" w:hAnsi="Calibri"/>
          <w:color w:val="7A1F2B"/>
        </w:rPr>
        <w:t>If a rogue file is in the folder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Extract names it on the Document Schedule with stream mortgage, discard or other. It does not go onto Contracts_Import or Bills_Import. You can leave it out, or move it to the correct case folder and run again.</w:t>
      </w:r>
    </w:p>
    <w:p>
      <w:pPr>
        <w:pStyle w:val="Heading1"/>
      </w:pPr>
      <w:r>
        <w:rPr>
          <w:rFonts w:ascii="Calibri" w:hAnsi="Calibri"/>
          <w:color w:val="7A1F2B"/>
        </w:rPr>
        <w:t>Twenty cases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Twenty cases is twenty folders, or five desks each running one case at a time. It is not one folder containing twenty clients.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operators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rollout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