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/>
      </w:pPr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Crimson Screen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The yes-or-no tool you can sell to lead providers</w:t>
      </w:r>
    </w:p>
    <w:p>
      <w:pPr>
        <w:pStyle w:val="Heading1"/>
      </w:pPr>
      <w:r>
        <w:rPr>
          <w:rFonts w:ascii="Calibri" w:hAnsi="Calibri"/>
          <w:color w:val="7A1F2B"/>
        </w:rPr>
        <w:t>What it is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Crimson Screen is a short look at a business energy file before it is submitted for a full Extract run. It asks a fixed list of questions about the papers the lead provider already has. It then says whether the file is ready to send, what is still needed, and — only if the papers support it — an indicated range for a figure.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is designed to sit on more than one computer. Each computer looks at one case at a time. It can be licensed on its own, or it can sit in front of Extract for the firm that then takes the case.</w:t>
      </w:r>
    </w:p>
    <w:p>
      <w:pPr>
        <w:pStyle w:val="Heading1"/>
      </w:pPr>
      <w:r>
        <w:rPr>
          <w:rFonts w:ascii="Calibri" w:hAnsi="Calibri"/>
          <w:color w:val="7A1F2B"/>
        </w:rPr>
        <w:t>The questions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Question</w:t>
            </w:r>
          </w:p>
        </w:tc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If the answer is no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Is there a signed contract or a welcome / award letter with rates and dates?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Not yet. Obtain the contract or welcome letter.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Are the supplier name, site address and MPAN or MPRN on the papers?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Obtain a bill or contract that shows the meter point.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Are there bills for the period to be looked at?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first look can still be done on the contract. Any figure based on actual use will wait.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Was a broker used, and is there a letter of authority?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Obtain the LOA if you can. The file can still be sent. The gap will be marked.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Is commission printed on the contract or in a broker document?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Do not estimate a percentage. The file can be sent. Commission stays blank unless a solicitor later instructs a figure.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Are the contract term and estimated annual use shown?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Obtain the schedule. Very short terms and very low EAC often produce a small figure.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Is the printed unit rate lower than any evidenced comparator you have been given?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If the comparator is higher, Method 1 may be nil. Record that. Do not invent a different rate.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The answers it gives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Ready to send — the papers needed for a first look are present.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Send, but these items are still needed — the file can come in; the gaps are listed.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Not yet — please obtain the items listed before sending.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An indicated figure only if contract rates and a period of use (bills, or EAC the solicitor has instructed) are present. Otherwise it says so and does not guess.</w:t>
      </w:r>
    </w:p>
    <w:p>
      <w:pPr>
        <w:pStyle w:val="Heading1"/>
      </w:pPr>
      <w:r>
        <w:rPr>
          <w:rFonts w:ascii="Calibri" w:hAnsi="Calibri"/>
          <w:color w:val="7A1F2B"/>
        </w:rPr>
        <w:t>Time for each look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What they have</w:t>
            </w:r>
          </w:p>
        </w:tc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Time to allow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Contract (or welcome letter) and a clear run of bills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About 8 to 15 minutes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Contract only, or bills only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About 5 to 8 minutes, mostly to list gaps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mixed or unclear folder that has to be sorted first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About 15 to 20 minutes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later full valuation after the Bridge is complete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Longer, and not the same job</w:t>
            </w:r>
          </w:p>
        </w:tc>
      </w:tr>
    </w:tbl>
    <w:p/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Those times assume a trained operator and readable PDFs. Scanned images that cannot be read take longer, or come back with a request for a clearer copy.</w:t>
      </w:r>
    </w:p>
    <w:p>
      <w:pPr>
        <w:pStyle w:val="Heading1"/>
      </w:pPr>
      <w:r>
        <w:rPr>
          <w:rFonts w:ascii="Calibri" w:hAnsi="Calibri"/>
          <w:color w:val="7A1F2B"/>
        </w:rPr>
        <w:t>What it will not do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will not invent a commission percentage or a fair rate.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will not treat a previous report’s 15% or 40% as a fact.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will not give legal advice.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will not say “take this case” as a legal conclusion. It will say whether the papers meet the published list.</w:t>
      </w:r>
    </w:p>
    <w:p>
      <w:pPr>
        <w:pStyle w:val="Heading1"/>
      </w:pPr>
      <w:r>
        <w:rPr>
          <w:rFonts w:ascii="Calibri" w:hAnsi="Calibri"/>
          <w:color w:val="7A1F2B"/>
        </w:rPr>
        <w:t>How it is sold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Suggested price, not a quote: £6,000–£10,000 a year per seat, or £25–£40 per screening. White-label for a named lead provider is a one-off extra. Install on as many licensed PCs as they buy. One case per run on each PC.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potential client you have in mind can be shown this note and the lead-provider engagement note together. Screen is how they stop sending files that will only come back as “not yet”.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lead providers, sales and managing partners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rollout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