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pPr>
      <w:r>
        <w:rPr>
          <w:rFonts w:ascii="Calibri" w:hAnsi="Calibri" w:eastAsia="Calibri"/>
          <w:b/>
          <w:i w:val="0"/>
          <w:color w:val="7A1F2B"/>
          <w:sz w:val="24"/>
        </w:rPr>
        <w:t>CRIMSON HORSE</w:t>
      </w:r>
    </w:p>
    <w:p>
      <w:r>
        <w:rPr>
          <w:rFonts w:ascii="Calibri" w:hAnsi="Calibri" w:eastAsia="Calibri"/>
          <w:b/>
          <w:i w:val="0"/>
          <w:color w:val="7A1F2B"/>
          <w:sz w:val="44"/>
        </w:rPr>
        <w:t>Catalogue of Crimson Horse documents</w:t>
      </w:r>
    </w:p>
    <w:p>
      <w:r>
        <w:rPr>
          <w:rFonts w:ascii="Calibri" w:hAnsi="Calibri" w:eastAsia="Calibri"/>
          <w:b w:val="0"/>
          <w:i w:val="0"/>
          <w:color w:val="4A4A4A"/>
          <w:sz w:val="24"/>
        </w:rPr>
        <w:t>What already exists, who it is for, and where to find it</w:t>
      </w:r>
    </w:p>
    <w:p>
      <w:pPr>
        <w:pStyle w:val="Heading1"/>
      </w:pPr>
      <w:r>
        <w:rPr>
          <w:rFonts w:ascii="Calibri" w:hAnsi="Calibri"/>
          <w:color w:val="7A1F2B"/>
        </w:rPr>
        <w:t>How to use this list</w:t>
      </w:r>
    </w:p>
    <w:p>
      <w:pPr>
        <w:spacing w:after="160"/>
      </w:pPr>
      <w:r>
        <w:rPr>
          <w:rFonts w:ascii="Calibri" w:hAnsi="Calibri" w:eastAsia="Calibri"/>
          <w:b w:val="0"/>
          <w:i w:val="0"/>
          <w:color w:val="1A1A1A"/>
          <w:sz w:val="22"/>
        </w:rPr>
        <w:t>These documents were written as the product was built. They are now gathered in one library so they can be issued without hunting through folders. Each row says who should receive it.</w:t>
      </w:r>
    </w:p>
    <w:p>
      <w:pPr>
        <w:pStyle w:val="Heading1"/>
      </w:pPr>
      <w:r>
        <w:rPr>
          <w:rFonts w:ascii="Calibri" w:hAnsi="Calibri"/>
          <w:color w:val="7A1F2B"/>
        </w:rPr>
        <w:t>This rollout pack (new)</w:t>
      </w:r>
    </w:p>
    <w:tbl>
      <w:tblPr>
        <w:tblStyle w:val="TableGrid"/>
        <w:tblW w:type="auto" w:w="0"/>
        <w:jc w:val="center"/>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i w:val="0"/>
                <w:color w:val="FFFFFF"/>
                <w:sz w:val="20"/>
              </w:rPr>
              <w:t>File</w:t>
            </w:r>
          </w:p>
        </w:tc>
        <w:tc>
          <w:tcPr>
            <w:tcW w:type="dxa" w:w="3362"/>
            <w:shd w:fill="7A1F2B" w:val="clear"/>
          </w:tcPr>
          <w:p>
            <w:pPr>
              <w:spacing w:after="40" w:before="40"/>
            </w:pPr>
            <w:r/>
            <w:r>
              <w:rPr>
                <w:rFonts w:ascii="Calibri" w:hAnsi="Calibri" w:eastAsia="Calibri"/>
                <w:b/>
                <w:i w:val="0"/>
                <w:color w:val="FFFFFF"/>
                <w:sz w:val="20"/>
              </w:rPr>
              <w:t>Audience</w:t>
            </w:r>
          </w:p>
        </w:tc>
        <w:tc>
          <w:tcPr>
            <w:tcW w:type="dxa" w:w="3362"/>
            <w:shd w:fill="7A1F2B" w:val="clear"/>
          </w:tcPr>
          <w:p>
            <w:pPr>
              <w:spacing w:after="40" w:before="40"/>
            </w:pPr>
            <w:r/>
            <w:r>
              <w:rPr>
                <w:rFonts w:ascii="Calibri" w:hAnsi="Calibri" w:eastAsia="Calibri"/>
                <w:b/>
                <w:i w:val="0"/>
                <w:color w:val="FFFFFF"/>
                <w:sz w:val="20"/>
              </w:rPr>
              <w:t>Use it for</w:t>
            </w:r>
          </w:p>
        </w:tc>
      </w:tr>
      <w:tr>
        <w:tc>
          <w:tcPr>
            <w:tcW w:type="dxa" w:w="3362"/>
            <w:shd w:fill="FFFFFF" w:val="clear"/>
          </w:tcPr>
          <w:p>
            <w:pPr>
              <w:spacing w:after="40" w:before="40"/>
            </w:pPr>
            <w:r/>
            <w:r>
              <w:rPr>
                <w:rFonts w:ascii="Calibri" w:hAnsi="Calibri" w:eastAsia="Calibri"/>
                <w:b w:val="0"/>
                <w:i w:val="0"/>
                <w:color w:val="1A1A1A"/>
                <w:sz w:val="18"/>
              </w:rPr>
              <w:t>01 Solicitor instructed commission and interest</w:t>
            </w:r>
          </w:p>
        </w:tc>
        <w:tc>
          <w:tcPr>
            <w:tcW w:type="dxa" w:w="3362"/>
            <w:shd w:fill="FFFFFF" w:val="clear"/>
          </w:tcPr>
          <w:p>
            <w:pPr>
              <w:spacing w:after="40" w:before="40"/>
            </w:pPr>
            <w:r/>
            <w:r>
              <w:rPr>
                <w:rFonts w:ascii="Calibri" w:hAnsi="Calibri" w:eastAsia="Calibri"/>
                <w:b w:val="0"/>
                <w:i w:val="0"/>
                <w:color w:val="1A1A1A"/>
                <w:sz w:val="18"/>
              </w:rPr>
              <w:t>Solicitors and operators</w:t>
            </w:r>
          </w:p>
        </w:tc>
        <w:tc>
          <w:tcPr>
            <w:tcW w:type="dxa" w:w="3362"/>
            <w:shd w:fill="FFFFFF" w:val="clear"/>
          </w:tcPr>
          <w:p>
            <w:pPr>
              <w:spacing w:after="40" w:before="40"/>
            </w:pPr>
            <w:r/>
            <w:r>
              <w:rPr>
                <w:rFonts w:ascii="Calibri" w:hAnsi="Calibri" w:eastAsia="Calibri"/>
                <w:b w:val="0"/>
                <w:i w:val="0"/>
                <w:color w:val="1A1A1A"/>
                <w:sz w:val="18"/>
              </w:rPr>
              <w:t>The rule for any %</w:t>
            </w:r>
          </w:p>
        </w:tc>
      </w:tr>
      <w:tr>
        <w:tc>
          <w:tcPr>
            <w:tcW w:type="dxa" w:w="3362"/>
            <w:shd w:fill="F7F2F3" w:val="clear"/>
          </w:tcPr>
          <w:p>
            <w:pPr>
              <w:spacing w:after="40" w:before="40"/>
            </w:pPr>
            <w:r/>
            <w:r>
              <w:rPr>
                <w:rFonts w:ascii="Calibri" w:hAnsi="Calibri" w:eastAsia="Calibri"/>
                <w:b w:val="0"/>
                <w:i w:val="0"/>
                <w:color w:val="1A1A1A"/>
                <w:sz w:val="18"/>
              </w:rPr>
              <w:t>02 Imputed bills</w:t>
            </w:r>
          </w:p>
        </w:tc>
        <w:tc>
          <w:tcPr>
            <w:tcW w:type="dxa" w:w="3362"/>
            <w:shd w:fill="F7F2F3" w:val="clear"/>
          </w:tcPr>
          <w:p>
            <w:pPr>
              <w:spacing w:after="40" w:before="40"/>
            </w:pPr>
            <w:r/>
            <w:r>
              <w:rPr>
                <w:rFonts w:ascii="Calibri" w:hAnsi="Calibri" w:eastAsia="Calibri"/>
                <w:b w:val="0"/>
                <w:i w:val="0"/>
                <w:color w:val="1A1A1A"/>
                <w:sz w:val="18"/>
              </w:rPr>
              <w:t>Solicitors and operators</w:t>
            </w:r>
          </w:p>
        </w:tc>
        <w:tc>
          <w:tcPr>
            <w:tcW w:type="dxa" w:w="3362"/>
            <w:shd w:fill="F7F2F3" w:val="clear"/>
          </w:tcPr>
          <w:p>
            <w:pPr>
              <w:spacing w:after="40" w:before="40"/>
            </w:pPr>
            <w:r/>
            <w:r>
              <w:rPr>
                <w:rFonts w:ascii="Calibri" w:hAnsi="Calibri" w:eastAsia="Calibri"/>
                <w:b w:val="0"/>
                <w:i w:val="0"/>
                <w:color w:val="1A1A1A"/>
                <w:sz w:val="18"/>
              </w:rPr>
              <w:t>Reconstructing missing months</w:t>
            </w:r>
          </w:p>
        </w:tc>
      </w:tr>
      <w:tr>
        <w:tc>
          <w:tcPr>
            <w:tcW w:type="dxa" w:w="3362"/>
            <w:shd w:fill="FFFFFF" w:val="clear"/>
          </w:tcPr>
          <w:p>
            <w:pPr>
              <w:spacing w:after="40" w:before="40"/>
            </w:pPr>
            <w:r/>
            <w:r>
              <w:rPr>
                <w:rFonts w:ascii="Calibri" w:hAnsi="Calibri" w:eastAsia="Calibri"/>
                <w:b w:val="0"/>
                <w:i w:val="0"/>
                <w:color w:val="1A1A1A"/>
                <w:sz w:val="18"/>
              </w:rPr>
              <w:t>03 Rebranding, passwords and copying</w:t>
            </w:r>
          </w:p>
        </w:tc>
        <w:tc>
          <w:tcPr>
            <w:tcW w:type="dxa" w:w="3362"/>
            <w:shd w:fill="FFFFFF" w:val="clear"/>
          </w:tcPr>
          <w:p>
            <w:pPr>
              <w:spacing w:after="40" w:before="40"/>
            </w:pPr>
            <w:r/>
            <w:r>
              <w:rPr>
                <w:rFonts w:ascii="Calibri" w:hAnsi="Calibri" w:eastAsia="Calibri"/>
                <w:b w:val="0"/>
                <w:i w:val="0"/>
                <w:color w:val="1A1A1A"/>
                <w:sz w:val="18"/>
              </w:rPr>
              <w:t>Buyers and IT</w:t>
            </w:r>
          </w:p>
        </w:tc>
        <w:tc>
          <w:tcPr>
            <w:tcW w:type="dxa" w:w="3362"/>
            <w:shd w:fill="FFFFFF" w:val="clear"/>
          </w:tcPr>
          <w:p>
            <w:pPr>
              <w:spacing w:after="40" w:before="40"/>
            </w:pPr>
            <w:r/>
            <w:r>
              <w:rPr>
                <w:rFonts w:ascii="Calibri" w:hAnsi="Calibri" w:eastAsia="Calibri"/>
                <w:b w:val="0"/>
                <w:i w:val="0"/>
                <w:color w:val="1A1A1A"/>
                <w:sz w:val="18"/>
              </w:rPr>
              <w:t>White-label and lock-down</w:t>
            </w:r>
          </w:p>
        </w:tc>
      </w:tr>
      <w:tr>
        <w:tc>
          <w:tcPr>
            <w:tcW w:type="dxa" w:w="3362"/>
            <w:shd w:fill="F7F2F3" w:val="clear"/>
          </w:tcPr>
          <w:p>
            <w:pPr>
              <w:spacing w:after="40" w:before="40"/>
            </w:pPr>
            <w:r/>
            <w:r>
              <w:rPr>
                <w:rFonts w:ascii="Calibri" w:hAnsi="Calibri" w:eastAsia="Calibri"/>
                <w:b w:val="0"/>
                <w:i w:val="0"/>
                <w:color w:val="1A1A1A"/>
                <w:sz w:val="18"/>
              </w:rPr>
              <w:t>04 Post-upload intake report</w:t>
            </w:r>
          </w:p>
        </w:tc>
        <w:tc>
          <w:tcPr>
            <w:tcW w:type="dxa" w:w="3362"/>
            <w:shd w:fill="F7F2F3" w:val="clear"/>
          </w:tcPr>
          <w:p>
            <w:pPr>
              <w:spacing w:after="40" w:before="40"/>
            </w:pPr>
            <w:r/>
            <w:r>
              <w:rPr>
                <w:rFonts w:ascii="Calibri" w:hAnsi="Calibri" w:eastAsia="Calibri"/>
                <w:b w:val="0"/>
                <w:i w:val="0"/>
                <w:color w:val="1A1A1A"/>
                <w:sz w:val="18"/>
              </w:rPr>
              <w:t>Operators and lead providers</w:t>
            </w:r>
          </w:p>
        </w:tc>
        <w:tc>
          <w:tcPr>
            <w:tcW w:type="dxa" w:w="3362"/>
            <w:shd w:fill="F7F2F3" w:val="clear"/>
          </w:tcPr>
          <w:p>
            <w:pPr>
              <w:spacing w:after="40" w:before="40"/>
            </w:pPr>
            <w:r/>
            <w:r>
              <w:rPr>
                <w:rFonts w:ascii="Calibri" w:hAnsi="Calibri" w:eastAsia="Calibri"/>
                <w:b w:val="0"/>
                <w:i w:val="0"/>
                <w:color w:val="1A1A1A"/>
                <w:sz w:val="18"/>
              </w:rPr>
              <w:t>What arrived</w:t>
            </w:r>
          </w:p>
        </w:tc>
      </w:tr>
      <w:tr>
        <w:tc>
          <w:tcPr>
            <w:tcW w:type="dxa" w:w="3362"/>
            <w:shd w:fill="FFFFFF" w:val="clear"/>
          </w:tcPr>
          <w:p>
            <w:pPr>
              <w:spacing w:after="40" w:before="40"/>
            </w:pPr>
            <w:r/>
            <w:r>
              <w:rPr>
                <w:rFonts w:ascii="Calibri" w:hAnsi="Calibri" w:eastAsia="Calibri"/>
                <w:b w:val="0"/>
                <w:i w:val="0"/>
                <w:color w:val="1A1A1A"/>
                <w:sz w:val="18"/>
              </w:rPr>
              <w:t>05 This catalogue</w:t>
            </w:r>
          </w:p>
        </w:tc>
        <w:tc>
          <w:tcPr>
            <w:tcW w:type="dxa" w:w="3362"/>
            <w:shd w:fill="FFFFFF" w:val="clear"/>
          </w:tcPr>
          <w:p>
            <w:pPr>
              <w:spacing w:after="40" w:before="40"/>
            </w:pPr>
            <w:r/>
            <w:r>
              <w:rPr>
                <w:rFonts w:ascii="Calibri" w:hAnsi="Calibri" w:eastAsia="Calibri"/>
                <w:b w:val="0"/>
                <w:i w:val="0"/>
                <w:color w:val="1A1A1A"/>
                <w:sz w:val="18"/>
              </w:rPr>
              <w:t>Everyone</w:t>
            </w:r>
          </w:p>
        </w:tc>
        <w:tc>
          <w:tcPr>
            <w:tcW w:type="dxa" w:w="3362"/>
            <w:shd w:fill="FFFFFF" w:val="clear"/>
          </w:tcPr>
          <w:p>
            <w:pPr>
              <w:spacing w:after="40" w:before="40"/>
            </w:pPr>
            <w:r/>
            <w:r>
              <w:rPr>
                <w:rFonts w:ascii="Calibri" w:hAnsi="Calibri" w:eastAsia="Calibri"/>
                <w:b w:val="0"/>
                <w:i w:val="0"/>
                <w:color w:val="1A1A1A"/>
                <w:sz w:val="18"/>
              </w:rPr>
              <w:t>Finding the right note</w:t>
            </w:r>
          </w:p>
        </w:tc>
      </w:tr>
      <w:tr>
        <w:tc>
          <w:tcPr>
            <w:tcW w:type="dxa" w:w="3362"/>
            <w:shd w:fill="F7F2F3" w:val="clear"/>
          </w:tcPr>
          <w:p>
            <w:pPr>
              <w:spacing w:after="40" w:before="40"/>
            </w:pPr>
            <w:r/>
            <w:r>
              <w:rPr>
                <w:rFonts w:ascii="Calibri" w:hAnsi="Calibri" w:eastAsia="Calibri"/>
                <w:b w:val="0"/>
                <w:i w:val="0"/>
                <w:color w:val="1A1A1A"/>
                <w:sz w:val="18"/>
              </w:rPr>
              <w:t>06 The finished product</w:t>
            </w:r>
          </w:p>
        </w:tc>
        <w:tc>
          <w:tcPr>
            <w:tcW w:type="dxa" w:w="3362"/>
            <w:shd w:fill="F7F2F3" w:val="clear"/>
          </w:tcPr>
          <w:p>
            <w:pPr>
              <w:spacing w:after="40" w:before="40"/>
            </w:pPr>
            <w:r/>
            <w:r>
              <w:rPr>
                <w:rFonts w:ascii="Calibri" w:hAnsi="Calibri" w:eastAsia="Calibri"/>
                <w:b w:val="0"/>
                <w:i w:val="0"/>
                <w:color w:val="1A1A1A"/>
                <w:sz w:val="18"/>
              </w:rPr>
              <w:t>Bosses and buyers</w:t>
            </w:r>
          </w:p>
        </w:tc>
        <w:tc>
          <w:tcPr>
            <w:tcW w:type="dxa" w:w="3362"/>
            <w:shd w:fill="F7F2F3" w:val="clear"/>
          </w:tcPr>
          <w:p>
            <w:pPr>
              <w:spacing w:after="40" w:before="40"/>
            </w:pPr>
            <w:r/>
            <w:r>
              <w:rPr>
                <w:rFonts w:ascii="Calibri" w:hAnsi="Calibri" w:eastAsia="Calibri"/>
                <w:b w:val="0"/>
                <w:i w:val="0"/>
                <w:color w:val="1A1A1A"/>
                <w:sz w:val="18"/>
              </w:rPr>
              <w:t>What they are buying</w:t>
            </w:r>
          </w:p>
        </w:tc>
      </w:tr>
      <w:tr>
        <w:tc>
          <w:tcPr>
            <w:tcW w:type="dxa" w:w="3362"/>
            <w:shd w:fill="FFFFFF" w:val="clear"/>
          </w:tcPr>
          <w:p>
            <w:pPr>
              <w:spacing w:after="40" w:before="40"/>
            </w:pPr>
            <w:r/>
            <w:r>
              <w:rPr>
                <w:rFonts w:ascii="Calibri" w:hAnsi="Calibri" w:eastAsia="Calibri"/>
                <w:b w:val="0"/>
                <w:i w:val="0"/>
                <w:color w:val="1A1A1A"/>
                <w:sz w:val="18"/>
              </w:rPr>
              <w:t>07 How one-case mode works</w:t>
            </w:r>
          </w:p>
        </w:tc>
        <w:tc>
          <w:tcPr>
            <w:tcW w:type="dxa" w:w="3362"/>
            <w:shd w:fill="FFFFFF" w:val="clear"/>
          </w:tcPr>
          <w:p>
            <w:pPr>
              <w:spacing w:after="40" w:before="40"/>
            </w:pPr>
            <w:r/>
            <w:r>
              <w:rPr>
                <w:rFonts w:ascii="Calibri" w:hAnsi="Calibri" w:eastAsia="Calibri"/>
                <w:b w:val="0"/>
                <w:i w:val="0"/>
                <w:color w:val="1A1A1A"/>
                <w:sz w:val="18"/>
              </w:rPr>
              <w:t>Operators</w:t>
            </w:r>
          </w:p>
        </w:tc>
        <w:tc>
          <w:tcPr>
            <w:tcW w:type="dxa" w:w="3362"/>
            <w:shd w:fill="FFFFFF" w:val="clear"/>
          </w:tcPr>
          <w:p>
            <w:pPr>
              <w:spacing w:after="40" w:before="40"/>
            </w:pPr>
            <w:r/>
            <w:r>
              <w:rPr>
                <w:rFonts w:ascii="Calibri" w:hAnsi="Calibri" w:eastAsia="Calibri"/>
                <w:b w:val="0"/>
                <w:i w:val="0"/>
                <w:color w:val="1A1A1A"/>
                <w:sz w:val="18"/>
              </w:rPr>
              <w:t>How to run a file</w:t>
            </w:r>
          </w:p>
        </w:tc>
      </w:tr>
      <w:tr>
        <w:tc>
          <w:tcPr>
            <w:tcW w:type="dxa" w:w="3362"/>
            <w:shd w:fill="F7F2F3" w:val="clear"/>
          </w:tcPr>
          <w:p>
            <w:pPr>
              <w:spacing w:after="40" w:before="40"/>
            </w:pPr>
            <w:r/>
            <w:r>
              <w:rPr>
                <w:rFonts w:ascii="Calibri" w:hAnsi="Calibri" w:eastAsia="Calibri"/>
                <w:b w:val="0"/>
                <w:i w:val="0"/>
                <w:color w:val="1A1A1A"/>
                <w:sz w:val="18"/>
              </w:rPr>
              <w:t>08 Benefits of one-case mode</w:t>
            </w:r>
          </w:p>
        </w:tc>
        <w:tc>
          <w:tcPr>
            <w:tcW w:type="dxa" w:w="3362"/>
            <w:shd w:fill="F7F2F3" w:val="clear"/>
          </w:tcPr>
          <w:p>
            <w:pPr>
              <w:spacing w:after="40" w:before="40"/>
            </w:pPr>
            <w:r/>
            <w:r>
              <w:rPr>
                <w:rFonts w:ascii="Calibri" w:hAnsi="Calibri" w:eastAsia="Calibri"/>
                <w:b w:val="0"/>
                <w:i w:val="0"/>
                <w:color w:val="1A1A1A"/>
                <w:sz w:val="18"/>
              </w:rPr>
              <w:t>Bosses and lead providers</w:t>
            </w:r>
          </w:p>
        </w:tc>
        <w:tc>
          <w:tcPr>
            <w:tcW w:type="dxa" w:w="3362"/>
            <w:shd w:fill="F7F2F3" w:val="clear"/>
          </w:tcPr>
          <w:p>
            <w:pPr>
              <w:spacing w:after="40" w:before="40"/>
            </w:pPr>
            <w:r/>
            <w:r>
              <w:rPr>
                <w:rFonts w:ascii="Calibri" w:hAnsi="Calibri" w:eastAsia="Calibri"/>
                <w:b w:val="0"/>
                <w:i w:val="0"/>
                <w:color w:val="1A1A1A"/>
                <w:sz w:val="18"/>
              </w:rPr>
              <w:t>Why we do not mix piles</w:t>
            </w:r>
          </w:p>
        </w:tc>
      </w:tr>
      <w:tr>
        <w:tc>
          <w:tcPr>
            <w:tcW w:type="dxa" w:w="3362"/>
            <w:shd w:fill="FFFFFF" w:val="clear"/>
          </w:tcPr>
          <w:p>
            <w:pPr>
              <w:spacing w:after="40" w:before="40"/>
            </w:pPr>
            <w:r/>
            <w:r>
              <w:rPr>
                <w:rFonts w:ascii="Calibri" w:hAnsi="Calibri" w:eastAsia="Calibri"/>
                <w:b w:val="0"/>
                <w:i w:val="0"/>
                <w:color w:val="1A1A1A"/>
                <w:sz w:val="18"/>
              </w:rPr>
              <w:t>09 Pricing suggestions</w:t>
            </w:r>
          </w:p>
        </w:tc>
        <w:tc>
          <w:tcPr>
            <w:tcW w:type="dxa" w:w="3362"/>
            <w:shd w:fill="FFFFFF" w:val="clear"/>
          </w:tcPr>
          <w:p>
            <w:pPr>
              <w:spacing w:after="40" w:before="40"/>
            </w:pPr>
            <w:r/>
            <w:r>
              <w:rPr>
                <w:rFonts w:ascii="Calibri" w:hAnsi="Calibri" w:eastAsia="Calibri"/>
                <w:b w:val="0"/>
                <w:i w:val="0"/>
                <w:color w:val="1A1A1A"/>
                <w:sz w:val="18"/>
              </w:rPr>
              <w:t>Sales and managing partners</w:t>
            </w:r>
          </w:p>
        </w:tc>
        <w:tc>
          <w:tcPr>
            <w:tcW w:type="dxa" w:w="3362"/>
            <w:shd w:fill="FFFFFF" w:val="clear"/>
          </w:tcPr>
          <w:p>
            <w:pPr>
              <w:spacing w:after="40" w:before="40"/>
            </w:pPr>
            <w:r/>
            <w:r>
              <w:rPr>
                <w:rFonts w:ascii="Calibri" w:hAnsi="Calibri" w:eastAsia="Calibri"/>
                <w:b w:val="0"/>
                <w:i w:val="0"/>
                <w:color w:val="1A1A1A"/>
                <w:sz w:val="18"/>
              </w:rPr>
              <w:t>Seats, pods, Screen</w:t>
            </w:r>
          </w:p>
        </w:tc>
      </w:tr>
      <w:tr>
        <w:tc>
          <w:tcPr>
            <w:tcW w:type="dxa" w:w="3362"/>
            <w:shd w:fill="F7F2F3" w:val="clear"/>
          </w:tcPr>
          <w:p>
            <w:pPr>
              <w:spacing w:after="40" w:before="40"/>
            </w:pPr>
            <w:r/>
            <w:r>
              <w:rPr>
                <w:rFonts w:ascii="Calibri" w:hAnsi="Calibri" w:eastAsia="Calibri"/>
                <w:b w:val="0"/>
                <w:i w:val="0"/>
                <w:color w:val="1A1A1A"/>
                <w:sz w:val="18"/>
              </w:rPr>
              <w:t>10 Systems fail-safes</w:t>
            </w:r>
          </w:p>
        </w:tc>
        <w:tc>
          <w:tcPr>
            <w:tcW w:type="dxa" w:w="3362"/>
            <w:shd w:fill="F7F2F3" w:val="clear"/>
          </w:tcPr>
          <w:p>
            <w:pPr>
              <w:spacing w:after="40" w:before="40"/>
            </w:pPr>
            <w:r/>
            <w:r>
              <w:rPr>
                <w:rFonts w:ascii="Calibri" w:hAnsi="Calibri" w:eastAsia="Calibri"/>
                <w:b w:val="0"/>
                <w:i w:val="0"/>
                <w:color w:val="1A1A1A"/>
                <w:sz w:val="18"/>
              </w:rPr>
              <w:t>Risk and operators</w:t>
            </w:r>
          </w:p>
        </w:tc>
        <w:tc>
          <w:tcPr>
            <w:tcW w:type="dxa" w:w="3362"/>
            <w:shd w:fill="F7F2F3" w:val="clear"/>
          </w:tcPr>
          <w:p>
            <w:pPr>
              <w:spacing w:after="40" w:before="40"/>
            </w:pPr>
            <w:r/>
            <w:r>
              <w:rPr>
                <w:rFonts w:ascii="Calibri" w:hAnsi="Calibri" w:eastAsia="Calibri"/>
                <w:b w:val="0"/>
                <w:i w:val="0"/>
                <w:color w:val="1A1A1A"/>
                <w:sz w:val="18"/>
              </w:rPr>
              <w:t>What stops a bad number</w:t>
            </w:r>
          </w:p>
        </w:tc>
      </w:tr>
      <w:tr>
        <w:tc>
          <w:tcPr>
            <w:tcW w:type="dxa" w:w="3362"/>
            <w:shd w:fill="FFFFFF" w:val="clear"/>
          </w:tcPr>
          <w:p>
            <w:pPr>
              <w:spacing w:after="40" w:before="40"/>
            </w:pPr>
            <w:r/>
            <w:r>
              <w:rPr>
                <w:rFonts w:ascii="Calibri" w:hAnsi="Calibri" w:eastAsia="Calibri"/>
                <w:b w:val="0"/>
                <w:i w:val="0"/>
                <w:color w:val="1A1A1A"/>
                <w:sz w:val="18"/>
              </w:rPr>
              <w:t>11 Crimson Screen</w:t>
            </w:r>
          </w:p>
        </w:tc>
        <w:tc>
          <w:tcPr>
            <w:tcW w:type="dxa" w:w="3362"/>
            <w:shd w:fill="FFFFFF" w:val="clear"/>
          </w:tcPr>
          <w:p>
            <w:pPr>
              <w:spacing w:after="40" w:before="40"/>
            </w:pPr>
            <w:r/>
            <w:r>
              <w:rPr>
                <w:rFonts w:ascii="Calibri" w:hAnsi="Calibri" w:eastAsia="Calibri"/>
                <w:b w:val="0"/>
                <w:i w:val="0"/>
                <w:color w:val="1A1A1A"/>
                <w:sz w:val="18"/>
              </w:rPr>
              <w:t>Lead providers and sales</w:t>
            </w:r>
          </w:p>
        </w:tc>
        <w:tc>
          <w:tcPr>
            <w:tcW w:type="dxa" w:w="3362"/>
            <w:shd w:fill="FFFFFF" w:val="clear"/>
          </w:tcPr>
          <w:p>
            <w:pPr>
              <w:spacing w:after="40" w:before="40"/>
            </w:pPr>
            <w:r/>
            <w:r>
              <w:rPr>
                <w:rFonts w:ascii="Calibri" w:hAnsi="Calibri" w:eastAsia="Calibri"/>
                <w:b w:val="0"/>
                <w:i w:val="0"/>
                <w:color w:val="1A1A1A"/>
                <w:sz w:val="18"/>
              </w:rPr>
              <w:t>The yes/no tool</w:t>
            </w:r>
          </w:p>
        </w:tc>
      </w:tr>
      <w:tr>
        <w:tc>
          <w:tcPr>
            <w:tcW w:type="dxa" w:w="3362"/>
            <w:shd w:fill="F7F2F3" w:val="clear"/>
          </w:tcPr>
          <w:p>
            <w:pPr>
              <w:spacing w:after="40" w:before="40"/>
            </w:pPr>
            <w:r/>
            <w:r>
              <w:rPr>
                <w:rFonts w:ascii="Calibri" w:hAnsi="Calibri" w:eastAsia="Calibri"/>
                <w:b w:val="0"/>
                <w:i w:val="0"/>
                <w:color w:val="1A1A1A"/>
                <w:sz w:val="18"/>
              </w:rPr>
              <w:t>12 Documents for one case</w:t>
            </w:r>
          </w:p>
        </w:tc>
        <w:tc>
          <w:tcPr>
            <w:tcW w:type="dxa" w:w="3362"/>
            <w:shd w:fill="F7F2F3" w:val="clear"/>
          </w:tcPr>
          <w:p>
            <w:pPr>
              <w:spacing w:after="40" w:before="40"/>
            </w:pPr>
            <w:r/>
            <w:r>
              <w:rPr>
                <w:rFonts w:ascii="Calibri" w:hAnsi="Calibri" w:eastAsia="Calibri"/>
                <w:b w:val="0"/>
                <w:i w:val="0"/>
                <w:color w:val="1A1A1A"/>
                <w:sz w:val="18"/>
              </w:rPr>
              <w:t>Lead providers and clients</w:t>
            </w:r>
          </w:p>
        </w:tc>
        <w:tc>
          <w:tcPr>
            <w:tcW w:type="dxa" w:w="3362"/>
            <w:shd w:fill="F7F2F3" w:val="clear"/>
          </w:tcPr>
          <w:p>
            <w:pPr>
              <w:spacing w:after="40" w:before="40"/>
            </w:pPr>
            <w:r/>
            <w:r>
              <w:rPr>
                <w:rFonts w:ascii="Calibri" w:hAnsi="Calibri" w:eastAsia="Calibri"/>
                <w:b w:val="0"/>
                <w:i w:val="0"/>
                <w:color w:val="1A1A1A"/>
                <w:sz w:val="18"/>
              </w:rPr>
              <w:t>What to send</w:t>
            </w:r>
          </w:p>
        </w:tc>
      </w:tr>
    </w:tbl>
    <w:p/>
    <w:p>
      <w:pPr>
        <w:pStyle w:val="Heading1"/>
      </w:pPr>
      <w:r>
        <w:rPr>
          <w:rFonts w:ascii="Calibri" w:hAnsi="Calibri"/>
          <w:color w:val="7A1F2B"/>
        </w:rPr>
        <w:t>Already written (now in the same library)</w:t>
      </w:r>
    </w:p>
    <w:tbl>
      <w:tblPr>
        <w:tblStyle w:val="TableGrid"/>
        <w:tblW w:type="auto" w:w="0"/>
        <w:jc w:val="center"/>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i w:val="0"/>
                <w:color w:val="FFFFFF"/>
                <w:sz w:val="20"/>
              </w:rPr>
              <w:t>File</w:t>
            </w:r>
          </w:p>
        </w:tc>
        <w:tc>
          <w:tcPr>
            <w:tcW w:type="dxa" w:w="3362"/>
            <w:shd w:fill="7A1F2B" w:val="clear"/>
          </w:tcPr>
          <w:p>
            <w:pPr>
              <w:spacing w:after="40" w:before="40"/>
            </w:pPr>
            <w:r/>
            <w:r>
              <w:rPr>
                <w:rFonts w:ascii="Calibri" w:hAnsi="Calibri" w:eastAsia="Calibri"/>
                <w:b/>
                <w:i w:val="0"/>
                <w:color w:val="FFFFFF"/>
                <w:sz w:val="20"/>
              </w:rPr>
              <w:t>Audience</w:t>
            </w:r>
          </w:p>
        </w:tc>
        <w:tc>
          <w:tcPr>
            <w:tcW w:type="dxa" w:w="3362"/>
            <w:shd w:fill="7A1F2B" w:val="clear"/>
          </w:tcPr>
          <w:p>
            <w:pPr>
              <w:spacing w:after="40" w:before="40"/>
            </w:pPr>
            <w:r/>
            <w:r>
              <w:rPr>
                <w:rFonts w:ascii="Calibri" w:hAnsi="Calibri" w:eastAsia="Calibri"/>
                <w:b/>
                <w:i w:val="0"/>
                <w:color w:val="FFFFFF"/>
                <w:sz w:val="20"/>
              </w:rPr>
              <w:t>Use it for</w:t>
            </w:r>
          </w:p>
        </w:tc>
      </w:tr>
      <w:tr>
        <w:tc>
          <w:tcPr>
            <w:tcW w:type="dxa" w:w="3362"/>
            <w:shd w:fill="FFFFFF" w:val="clear"/>
          </w:tcPr>
          <w:p>
            <w:pPr>
              <w:spacing w:after="40" w:before="40"/>
            </w:pPr>
            <w:r/>
            <w:r>
              <w:rPr>
                <w:rFonts w:ascii="Calibri" w:hAnsi="Calibri" w:eastAsia="Calibri"/>
                <w:b w:val="0"/>
                <w:i w:val="0"/>
                <w:color w:val="1A1A1A"/>
                <w:sz w:val="18"/>
              </w:rPr>
              <w:t>Crimson_Lead_Provider_Engagement_Note.docx</w:t>
            </w:r>
          </w:p>
        </w:tc>
        <w:tc>
          <w:tcPr>
            <w:tcW w:type="dxa" w:w="3362"/>
            <w:shd w:fill="FFFFFF" w:val="clear"/>
          </w:tcPr>
          <w:p>
            <w:pPr>
              <w:spacing w:after="40" w:before="40"/>
            </w:pPr>
            <w:r/>
            <w:r>
              <w:rPr>
                <w:rFonts w:ascii="Calibri" w:hAnsi="Calibri" w:eastAsia="Calibri"/>
                <w:b w:val="0"/>
                <w:i w:val="0"/>
                <w:color w:val="1A1A1A"/>
                <w:sz w:val="18"/>
              </w:rPr>
              <w:t>Lead providers</w:t>
            </w:r>
          </w:p>
        </w:tc>
        <w:tc>
          <w:tcPr>
            <w:tcW w:type="dxa" w:w="3362"/>
            <w:shd w:fill="FFFFFF" w:val="clear"/>
          </w:tcPr>
          <w:p>
            <w:pPr>
              <w:spacing w:after="40" w:before="40"/>
            </w:pPr>
            <w:r/>
            <w:r>
              <w:rPr>
                <w:rFonts w:ascii="Calibri" w:hAnsi="Calibri" w:eastAsia="Calibri"/>
                <w:b w:val="0"/>
                <w:i w:val="0"/>
                <w:color w:val="1A1A1A"/>
                <w:sz w:val="18"/>
              </w:rPr>
              <w:t>Rules of engagement — what to send</w:t>
            </w:r>
          </w:p>
        </w:tc>
      </w:tr>
      <w:tr>
        <w:tc>
          <w:tcPr>
            <w:tcW w:type="dxa" w:w="3362"/>
            <w:shd w:fill="F7F2F3" w:val="clear"/>
          </w:tcPr>
          <w:p>
            <w:pPr>
              <w:spacing w:after="40" w:before="40"/>
            </w:pPr>
            <w:r/>
            <w:r>
              <w:rPr>
                <w:rFonts w:ascii="Calibri" w:hAnsi="Calibri" w:eastAsia="Calibri"/>
                <w:b w:val="0"/>
                <w:i w:val="0"/>
                <w:color w:val="1A1A1A"/>
                <w:sz w:val="18"/>
              </w:rPr>
              <w:t>Crimson_Screen_Lead_Provider_Tool.docx</w:t>
            </w:r>
          </w:p>
        </w:tc>
        <w:tc>
          <w:tcPr>
            <w:tcW w:type="dxa" w:w="3362"/>
            <w:shd w:fill="F7F2F3" w:val="clear"/>
          </w:tcPr>
          <w:p>
            <w:pPr>
              <w:spacing w:after="40" w:before="40"/>
            </w:pPr>
            <w:r/>
            <w:r>
              <w:rPr>
                <w:rFonts w:ascii="Calibri" w:hAnsi="Calibri" w:eastAsia="Calibri"/>
                <w:b w:val="0"/>
                <w:i w:val="0"/>
                <w:color w:val="1A1A1A"/>
                <w:sz w:val="18"/>
              </w:rPr>
              <w:t>Lead providers / sales</w:t>
            </w:r>
          </w:p>
        </w:tc>
        <w:tc>
          <w:tcPr>
            <w:tcW w:type="dxa" w:w="3362"/>
            <w:shd w:fill="F7F2F3" w:val="clear"/>
          </w:tcPr>
          <w:p>
            <w:pPr>
              <w:spacing w:after="40" w:before="40"/>
            </w:pPr>
            <w:r/>
            <w:r>
              <w:rPr>
                <w:rFonts w:ascii="Calibri" w:hAnsi="Calibri" w:eastAsia="Calibri"/>
                <w:b w:val="0"/>
                <w:i w:val="0"/>
                <w:color w:val="1A1A1A"/>
                <w:sz w:val="18"/>
              </w:rPr>
              <w:t>Earlier Screen sell note</w:t>
            </w:r>
          </w:p>
        </w:tc>
      </w:tr>
      <w:tr>
        <w:tc>
          <w:tcPr>
            <w:tcW w:type="dxa" w:w="3362"/>
            <w:shd w:fill="FFFFFF" w:val="clear"/>
          </w:tcPr>
          <w:p>
            <w:pPr>
              <w:spacing w:after="40" w:before="40"/>
            </w:pPr>
            <w:r/>
            <w:r>
              <w:rPr>
                <w:rFonts w:ascii="Calibri" w:hAnsi="Calibri" w:eastAsia="Calibri"/>
                <w:b w:val="0"/>
                <w:i w:val="0"/>
                <w:color w:val="1A1A1A"/>
                <w:sz w:val="18"/>
              </w:rPr>
              <w:t>Crimson_Agent_Commercial_and_Operating_Pack.docx</w:t>
            </w:r>
          </w:p>
        </w:tc>
        <w:tc>
          <w:tcPr>
            <w:tcW w:type="dxa" w:w="3362"/>
            <w:shd w:fill="FFFFFF" w:val="clear"/>
          </w:tcPr>
          <w:p>
            <w:pPr>
              <w:spacing w:after="40" w:before="40"/>
            </w:pPr>
            <w:r/>
            <w:r>
              <w:rPr>
                <w:rFonts w:ascii="Calibri" w:hAnsi="Calibri" w:eastAsia="Calibri"/>
                <w:b w:val="0"/>
                <w:i w:val="0"/>
                <w:color w:val="1A1A1A"/>
                <w:sz w:val="18"/>
              </w:rPr>
              <w:t>Buyers</w:t>
            </w:r>
          </w:p>
        </w:tc>
        <w:tc>
          <w:tcPr>
            <w:tcW w:type="dxa" w:w="3362"/>
            <w:shd w:fill="FFFFFF" w:val="clear"/>
          </w:tcPr>
          <w:p>
            <w:pPr>
              <w:spacing w:after="40" w:before="40"/>
            </w:pPr>
            <w:r/>
            <w:r>
              <w:rPr>
                <w:rFonts w:ascii="Calibri" w:hAnsi="Calibri" w:eastAsia="Calibri"/>
                <w:b w:val="0"/>
                <w:i w:val="0"/>
                <w:color w:val="1A1A1A"/>
                <w:sz w:val="18"/>
              </w:rPr>
              <w:t>Commercial and operating overview</w:t>
            </w:r>
          </w:p>
        </w:tc>
      </w:tr>
      <w:tr>
        <w:tc>
          <w:tcPr>
            <w:tcW w:type="dxa" w:w="3362"/>
            <w:shd w:fill="F7F2F3" w:val="clear"/>
          </w:tcPr>
          <w:p>
            <w:pPr>
              <w:spacing w:after="40" w:before="40"/>
            </w:pPr>
            <w:r/>
            <w:r>
              <w:rPr>
                <w:rFonts w:ascii="Calibri" w:hAnsi="Calibri" w:eastAsia="Calibri"/>
                <w:b w:val="0"/>
                <w:i w:val="0"/>
                <w:color w:val="1A1A1A"/>
                <w:sz w:val="18"/>
              </w:rPr>
              <w:t>Crimson_PRODUCT_AND_READINESS.md</w:t>
            </w:r>
          </w:p>
        </w:tc>
        <w:tc>
          <w:tcPr>
            <w:tcW w:type="dxa" w:w="3362"/>
            <w:shd w:fill="F7F2F3" w:val="clear"/>
          </w:tcPr>
          <w:p>
            <w:pPr>
              <w:spacing w:after="40" w:before="40"/>
            </w:pPr>
            <w:r/>
            <w:r>
              <w:rPr>
                <w:rFonts w:ascii="Calibri" w:hAnsi="Calibri" w:eastAsia="Calibri"/>
                <w:b w:val="0"/>
                <w:i w:val="0"/>
                <w:color w:val="1A1A1A"/>
                <w:sz w:val="18"/>
              </w:rPr>
              <w:t>Internal</w:t>
            </w:r>
          </w:p>
        </w:tc>
        <w:tc>
          <w:tcPr>
            <w:tcW w:type="dxa" w:w="3362"/>
            <w:shd w:fill="F7F2F3" w:val="clear"/>
          </w:tcPr>
          <w:p>
            <w:pPr>
              <w:spacing w:after="40" w:before="40"/>
            </w:pPr>
            <w:r/>
            <w:r>
              <w:rPr>
                <w:rFonts w:ascii="Calibri" w:hAnsi="Calibri" w:eastAsia="Calibri"/>
                <w:b w:val="0"/>
                <w:i w:val="0"/>
                <w:color w:val="1A1A1A"/>
                <w:sz w:val="18"/>
              </w:rPr>
              <w:t>Readiness and what is still blocked</w:t>
            </w:r>
          </w:p>
        </w:tc>
      </w:tr>
      <w:tr>
        <w:tc>
          <w:tcPr>
            <w:tcW w:type="dxa" w:w="3362"/>
            <w:shd w:fill="FFFFFF" w:val="clear"/>
          </w:tcPr>
          <w:p>
            <w:pPr>
              <w:spacing w:after="40" w:before="40"/>
            </w:pPr>
            <w:r/>
            <w:r>
              <w:rPr>
                <w:rFonts w:ascii="Calibri" w:hAnsi="Calibri" w:eastAsia="Calibri"/>
                <w:b w:val="0"/>
                <w:i w:val="0"/>
                <w:color w:val="1A1A1A"/>
                <w:sz w:val="18"/>
              </w:rPr>
              <w:t>Crimson_Extract_README.md</w:t>
            </w:r>
          </w:p>
        </w:tc>
        <w:tc>
          <w:tcPr>
            <w:tcW w:type="dxa" w:w="3362"/>
            <w:shd w:fill="FFFFFF" w:val="clear"/>
          </w:tcPr>
          <w:p>
            <w:pPr>
              <w:spacing w:after="40" w:before="40"/>
            </w:pPr>
            <w:r/>
            <w:r>
              <w:rPr>
                <w:rFonts w:ascii="Calibri" w:hAnsi="Calibri" w:eastAsia="Calibri"/>
                <w:b w:val="0"/>
                <w:i w:val="0"/>
                <w:color w:val="1A1A1A"/>
                <w:sz w:val="18"/>
              </w:rPr>
              <w:t>Operators</w:t>
            </w:r>
          </w:p>
        </w:tc>
        <w:tc>
          <w:tcPr>
            <w:tcW w:type="dxa" w:w="3362"/>
            <w:shd w:fill="FFFFFF" w:val="clear"/>
          </w:tcPr>
          <w:p>
            <w:pPr>
              <w:spacing w:after="40" w:before="40"/>
            </w:pPr>
            <w:r/>
            <w:r>
              <w:rPr>
                <w:rFonts w:ascii="Calibri" w:hAnsi="Calibri" w:eastAsia="Calibri"/>
                <w:b w:val="0"/>
                <w:i w:val="0"/>
                <w:color w:val="1A1A1A"/>
                <w:sz w:val="18"/>
              </w:rPr>
              <w:t>How to run Extract</w:t>
            </w:r>
          </w:p>
        </w:tc>
      </w:tr>
      <w:tr>
        <w:tc>
          <w:tcPr>
            <w:tcW w:type="dxa" w:w="3362"/>
            <w:shd w:fill="F7F2F3" w:val="clear"/>
          </w:tcPr>
          <w:p>
            <w:pPr>
              <w:spacing w:after="40" w:before="40"/>
            </w:pPr>
            <w:r/>
            <w:r>
              <w:rPr>
                <w:rFonts w:ascii="Calibri" w:hAnsi="Calibri" w:eastAsia="Calibri"/>
                <w:b w:val="0"/>
                <w:i w:val="0"/>
                <w:color w:val="1A1A1A"/>
                <w:sz w:val="18"/>
              </w:rPr>
              <w:t>Crimson_TASKS.md</w:t>
            </w:r>
          </w:p>
        </w:tc>
        <w:tc>
          <w:tcPr>
            <w:tcW w:type="dxa" w:w="3362"/>
            <w:shd w:fill="F7F2F3" w:val="clear"/>
          </w:tcPr>
          <w:p>
            <w:pPr>
              <w:spacing w:after="40" w:before="40"/>
            </w:pPr>
            <w:r/>
            <w:r>
              <w:rPr>
                <w:rFonts w:ascii="Calibri" w:hAnsi="Calibri" w:eastAsia="Calibri"/>
                <w:b w:val="0"/>
                <w:i w:val="0"/>
                <w:color w:val="1A1A1A"/>
                <w:sz w:val="18"/>
              </w:rPr>
              <w:t>Internal</w:t>
            </w:r>
          </w:p>
        </w:tc>
        <w:tc>
          <w:tcPr>
            <w:tcW w:type="dxa" w:w="3362"/>
            <w:shd w:fill="F7F2F3" w:val="clear"/>
          </w:tcPr>
          <w:p>
            <w:pPr>
              <w:spacing w:after="40" w:before="40"/>
            </w:pPr>
            <w:r/>
            <w:r>
              <w:rPr>
                <w:rFonts w:ascii="Calibri" w:hAnsi="Calibri" w:eastAsia="Calibri"/>
                <w:b w:val="0"/>
                <w:i w:val="0"/>
                <w:color w:val="1A1A1A"/>
                <w:sz w:val="18"/>
              </w:rPr>
              <w:t>Open tasks</w:t>
            </w:r>
          </w:p>
        </w:tc>
      </w:tr>
      <w:tr>
        <w:tc>
          <w:tcPr>
            <w:tcW w:type="dxa" w:w="3362"/>
            <w:shd w:fill="FFFFFF" w:val="clear"/>
          </w:tcPr>
          <w:p>
            <w:pPr>
              <w:spacing w:after="40" w:before="40"/>
            </w:pPr>
            <w:r/>
            <w:r>
              <w:rPr>
                <w:rFonts w:ascii="Calibri" w:hAnsi="Calibri" w:eastAsia="Calibri"/>
                <w:b w:val="0"/>
                <w:i w:val="0"/>
                <w:color w:val="1A1A1A"/>
                <w:sz w:val="18"/>
              </w:rPr>
              <w:t>Crimson_Quantum_Valuation_Whitmores_RAW.docx</w:t>
            </w:r>
          </w:p>
        </w:tc>
        <w:tc>
          <w:tcPr>
            <w:tcW w:type="dxa" w:w="3362"/>
            <w:shd w:fill="FFFFFF" w:val="clear"/>
          </w:tcPr>
          <w:p>
            <w:pPr>
              <w:spacing w:after="40" w:before="40"/>
            </w:pPr>
            <w:r/>
            <w:r>
              <w:rPr>
                <w:rFonts w:ascii="Calibri" w:hAnsi="Calibri" w:eastAsia="Calibri"/>
                <w:b w:val="0"/>
                <w:i w:val="0"/>
                <w:color w:val="1A1A1A"/>
                <w:sz w:val="18"/>
              </w:rPr>
              <w:t>Internal example</w:t>
            </w:r>
          </w:p>
        </w:tc>
        <w:tc>
          <w:tcPr>
            <w:tcW w:type="dxa" w:w="3362"/>
            <w:shd w:fill="FFFFFF" w:val="clear"/>
          </w:tcPr>
          <w:p>
            <w:pPr>
              <w:spacing w:after="40" w:before="40"/>
            </w:pPr>
            <w:r/>
            <w:r>
              <w:rPr>
                <w:rFonts w:ascii="Calibri" w:hAnsi="Calibri" w:eastAsia="Calibri"/>
                <w:b w:val="0"/>
                <w:i w:val="0"/>
                <w:color w:val="1A1A1A"/>
                <w:sz w:val="18"/>
              </w:rPr>
              <w:t>Raw valuation shape</w:t>
            </w:r>
          </w:p>
        </w:tc>
      </w:tr>
      <w:tr>
        <w:tc>
          <w:tcPr>
            <w:tcW w:type="dxa" w:w="3362"/>
            <w:shd w:fill="F7F2F3" w:val="clear"/>
          </w:tcPr>
          <w:p>
            <w:pPr>
              <w:spacing w:after="40" w:before="40"/>
            </w:pPr>
            <w:r/>
            <w:r>
              <w:rPr>
                <w:rFonts w:ascii="Calibri" w:hAnsi="Calibri" w:eastAsia="Calibri"/>
                <w:b w:val="0"/>
                <w:i w:val="0"/>
                <w:color w:val="1A1A1A"/>
                <w:sz w:val="18"/>
              </w:rPr>
              <w:t>BEC Hybrid / v2–v5 valuation templates</w:t>
            </w:r>
          </w:p>
        </w:tc>
        <w:tc>
          <w:tcPr>
            <w:tcW w:type="dxa" w:w="3362"/>
            <w:shd w:fill="F7F2F3" w:val="clear"/>
          </w:tcPr>
          <w:p>
            <w:pPr>
              <w:spacing w:after="40" w:before="40"/>
            </w:pPr>
            <w:r/>
            <w:r>
              <w:rPr>
                <w:rFonts w:ascii="Calibri" w:hAnsi="Calibri" w:eastAsia="Calibri"/>
                <w:b w:val="0"/>
                <w:i w:val="0"/>
                <w:color w:val="1A1A1A"/>
                <w:sz w:val="18"/>
              </w:rPr>
              <w:t>Operators</w:t>
            </w:r>
          </w:p>
        </w:tc>
        <w:tc>
          <w:tcPr>
            <w:tcW w:type="dxa" w:w="3362"/>
            <w:shd w:fill="F7F2F3" w:val="clear"/>
          </w:tcPr>
          <w:p>
            <w:pPr>
              <w:spacing w:after="40" w:before="40"/>
            </w:pPr>
            <w:r/>
            <w:r>
              <w:rPr>
                <w:rFonts w:ascii="Calibri" w:hAnsi="Calibri" w:eastAsia="Calibri"/>
                <w:b w:val="0"/>
                <w:i w:val="0"/>
                <w:color w:val="1A1A1A"/>
                <w:sz w:val="18"/>
              </w:rPr>
              <w:t>Report templates</w:t>
            </w:r>
          </w:p>
        </w:tc>
      </w:tr>
      <w:tr>
        <w:tc>
          <w:tcPr>
            <w:tcW w:type="dxa" w:w="3362"/>
            <w:shd w:fill="FFFFFF" w:val="clear"/>
          </w:tcPr>
          <w:p>
            <w:pPr>
              <w:spacing w:after="40" w:before="40"/>
            </w:pPr>
            <w:r/>
            <w:r>
              <w:rPr>
                <w:rFonts w:ascii="Calibri" w:hAnsi="Calibri" w:eastAsia="Calibri"/>
                <w:b w:val="0"/>
                <w:i w:val="0"/>
                <w:color w:val="1A1A1A"/>
                <w:sz w:val="18"/>
              </w:rPr>
              <w:t>Statement of Understanding v1.docx</w:t>
            </w:r>
          </w:p>
        </w:tc>
        <w:tc>
          <w:tcPr>
            <w:tcW w:type="dxa" w:w="3362"/>
            <w:shd w:fill="FFFFFF" w:val="clear"/>
          </w:tcPr>
          <w:p>
            <w:pPr>
              <w:spacing w:after="40" w:before="40"/>
            </w:pPr>
            <w:r/>
            <w:r>
              <w:rPr>
                <w:rFonts w:ascii="Calibri" w:hAnsi="Calibri" w:eastAsia="Calibri"/>
                <w:b w:val="0"/>
                <w:i w:val="0"/>
                <w:color w:val="1A1A1A"/>
                <w:sz w:val="18"/>
              </w:rPr>
              <w:t>Clients</w:t>
            </w:r>
          </w:p>
        </w:tc>
        <w:tc>
          <w:tcPr>
            <w:tcW w:type="dxa" w:w="3362"/>
            <w:shd w:fill="FFFFFF" w:val="clear"/>
          </w:tcPr>
          <w:p>
            <w:pPr>
              <w:spacing w:after="40" w:before="40"/>
            </w:pPr>
            <w:r/>
            <w:r>
              <w:rPr>
                <w:rFonts w:ascii="Calibri" w:hAnsi="Calibri" w:eastAsia="Calibri"/>
                <w:b w:val="0"/>
                <w:i w:val="0"/>
                <w:color w:val="1A1A1A"/>
                <w:sz w:val="18"/>
              </w:rPr>
              <w:t>Existing understanding note (if issued)</w:t>
            </w:r>
          </w:p>
        </w:tc>
      </w:tr>
    </w:tbl>
    <w:p/>
    <w:p>
      <w:pPr>
        <w:pStyle w:val="Heading1"/>
      </w:pPr>
      <w:r>
        <w:rPr>
          <w:rFonts w:ascii="Calibri" w:hAnsi="Calibri"/>
          <w:color w:val="7A1F2B"/>
        </w:rPr>
        <w:t>Working files (not issued as explanation notes)</w:t>
      </w:r>
    </w:p>
    <w:p>
      <w:pPr>
        <w:pStyle w:val="ListBullet"/>
        <w:spacing w:after="60"/>
      </w:pPr>
      <w:r>
        <w:rPr>
          <w:rFonts w:ascii="Calibri" w:hAnsi="Calibri" w:eastAsia="Calibri"/>
          <w:b w:val="0"/>
          <w:i w:val="0"/>
          <w:color w:val="1A1A1A"/>
          <w:sz w:val="22"/>
        </w:rPr>
        <w:t>Crimson Calculator v2.10 — the calculation workbook.</w:t>
      </w:r>
    </w:p>
    <w:p>
      <w:pPr>
        <w:pStyle w:val="ListBullet"/>
        <w:spacing w:after="60"/>
      </w:pPr>
      <w:r>
        <w:rPr>
          <w:rFonts w:ascii="Calibri" w:hAnsi="Calibri" w:eastAsia="Calibri"/>
          <w:b w:val="0"/>
          <w:i w:val="0"/>
          <w:color w:val="1A1A1A"/>
          <w:sz w:val="22"/>
        </w:rPr>
        <w:t>Crimson Data Bridge templates and calibration pack.</w:t>
      </w:r>
    </w:p>
    <w:p>
      <w:pPr>
        <w:pStyle w:val="ListBullet"/>
        <w:spacing w:after="60"/>
      </w:pPr>
      <w:r>
        <w:rPr>
          <w:rFonts w:ascii="Calibri" w:hAnsi="Calibri" w:eastAsia="Calibri"/>
          <w:b w:val="0"/>
          <w:i w:val="0"/>
          <w:color w:val="1A1A1A"/>
          <w:sz w:val="22"/>
        </w:rPr>
        <w:t>Quantum valuation templates and example reports (Carnival, multi-site, Whitmores).</w:t>
      </w:r>
    </w:p>
    <w:p>
      <w:pPr>
        <w:pStyle w:val="ListBullet"/>
        <w:spacing w:after="60"/>
      </w:pPr>
      <w:r>
        <w:rPr>
          <w:rFonts w:ascii="Calibri" w:hAnsi="Calibri" w:eastAsia="Calibri"/>
          <w:b w:val="0"/>
          <w:i w:val="0"/>
          <w:color w:val="1A1A1A"/>
          <w:sz w:val="22"/>
        </w:rPr>
        <w:t>brand.example.json and instruction.example.json — configuration, not reading material.</w:t>
      </w:r>
    </w:p>
    <w:p>
      <w:pPr>
        <w:spacing w:after="160"/>
      </w:pPr>
      <w:r>
        <w:rPr>
          <w:rFonts w:ascii="Calibri" w:hAnsi="Calibri" w:eastAsia="Calibri"/>
          <w:b w:val="0"/>
          <w:i w:val="0"/>
          <w:color w:val="1A1A1A"/>
          <w:sz w:val="22"/>
        </w:rPr>
        <w:t>Issue the numbered notes. Keep the working files on the operator desk.</w:t>
      </w:r>
    </w:p>
    <w:sectPr w:rsidR="00FC693F" w:rsidRPr="0006063C" w:rsidSect="00034616">
      <w:headerReference w:type="default" r:id="rId9"/>
      <w:footerReference w:type="default" r:id="rId10"/>
      <w:pgSz w:w="12240" w:h="15840"/>
      <w:pgMar w:top="1474" w:right="1077" w:bottom="1020" w:left="1077" w:header="283"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Calibri" w:hAnsi="Calibri" w:eastAsia="Calibri"/>
        <w:b w:val="0"/>
        <w:i w:val="0"/>
        <w:color w:val="4A4A4A"/>
        <w:sz w:val="16"/>
      </w:rPr>
      <w:t>For colleagues, bosses and new joiners  ·  18 August 2026  ·  Not legal advice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Calibri" w:hAnsi="Calibri" w:eastAsia="Calibri"/>
        <w:b/>
        <w:i w:val="0"/>
        <w:color w:val="7A1F2B"/>
        <w:sz w:val="18"/>
      </w:rPr>
      <w:t xml:space="preserve">    CRIMSON HORSE  ·  rollout note</w:t>
    </w: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35101" cy="5029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