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Business Energy Claim</w:t>
      </w:r>
    </w:p>
    <w:p>
      <w:pPr>
        <w:jc w:val="center"/>
      </w:pPr>
      <w:r>
        <w:rPr>
          <w:sz w:val="28"/>
        </w:rPr>
        <w:t>Quantum Valuation</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[CASE REF]</w:t>
            </w:r>
          </w:p>
        </w:tc>
      </w:tr>
      <w:tr>
        <w:tc>
          <w:tcPr>
            <w:tcW w:type="dxa" w:w="4703"/>
          </w:tcPr>
          <w:p>
            <w:r>
              <w:rPr>
                <w:rFonts w:ascii="Arial" w:hAnsi="Arial"/>
                <w:sz w:val="20"/>
              </w:rPr>
              <w:t>Claimant</w:t>
            </w:r>
          </w:p>
        </w:tc>
        <w:tc>
          <w:tcPr>
            <w:tcW w:type="dxa" w:w="4703"/>
          </w:tcPr>
          <w:p>
            <w:r>
              <w:rPr>
                <w:rFonts w:ascii="Arial" w:hAnsi="Arial"/>
                <w:sz w:val="20"/>
              </w:rPr>
              <w:t>[CLAIMANT NAME] — company no. [NUMBER]</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Prepared by</w:t>
            </w:r>
          </w:p>
        </w:tc>
        <w:tc>
          <w:tcPr>
            <w:tcW w:type="dxa" w:w="4703"/>
          </w:tcPr>
          <w:p>
            <w:r>
              <w:rPr>
                <w:rFonts w:ascii="Arial" w:hAnsi="Arial"/>
                <w:sz w:val="20"/>
              </w:rPr>
              <w:t>[NAME]</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valuation</w:t>
            </w:r>
          </w:p>
        </w:tc>
        <w:tc>
          <w:tcPr>
            <w:tcW w:type="dxa" w:w="4703"/>
          </w:tcPr>
          <w:p>
            <w:r>
              <w:rPr>
                <w:rFonts w:ascii="Arial" w:hAnsi="Arial"/>
                <w:sz w:val="20"/>
              </w:rPr>
              <w:t>[DD MONTH YYYY]</w:t>
            </w:r>
          </w:p>
        </w:tc>
      </w:tr>
      <w:tr>
        <w:tc>
          <w:tcPr>
            <w:tcW w:type="dxa" w:w="4703"/>
          </w:tcPr>
          <w:p>
            <w:r>
              <w:rPr>
                <w:rFonts w:ascii="Arial" w:hAnsi="Arial"/>
                <w:sz w:val="20"/>
              </w:rPr>
              <w:t>Case status</w:t>
            </w:r>
          </w:p>
        </w:tc>
        <w:tc>
          <w:tcPr>
            <w:tcW w:type="dxa" w:w="4703"/>
          </w:tcPr>
          <w:p>
            <w:r>
              <w:rPr>
                <w:rFonts w:ascii="Arial" w:hAnsi="Arial"/>
                <w:sz w:val="20"/>
              </w:rPr>
              <w:t>Documents examined; further information outstanding</w:t>
            </w:r>
          </w:p>
        </w:tc>
      </w:tr>
    </w:tbl>
    <w:p/>
    <w:p>
      <w:pPr>
        <w:spacing w:after="160"/>
      </w:pPr>
      <w:r>
        <w:rPr>
          <w:rFonts w:ascii="Arial" w:hAnsi="Arial"/>
          <w:b w:val="0"/>
          <w:i/>
          <w:sz w:val="22"/>
        </w:rPr>
        <w:t>About this valuation</w:t>
        <w:br/>
        <w:t>This document sets out a quantum assessment based on the documents examined. Figures are taken only from those documents or from publicly available wholesale series that are identified. Where a figure depends on information that has not been provided, that is stated. No commission rate or uplift is invented. This document is prepared for the instructing solicitor. It does not contain legal advice.</w:t>
      </w:r>
    </w:p>
    <w:p>
      <w:pPr>
        <w:spacing w:after="160"/>
      </w:pPr>
      <w:r>
        <w:rPr>
          <w:rFonts w:ascii="Arial" w:hAnsi="Arial"/>
          <w:b w:val="0"/>
          <w:i/>
          <w:sz w:val="22"/>
        </w:rPr>
        <w:t>Strictly private and confidential  ·  Prepared for the instructing solicitor  ·  Subject to litigation privilege</w:t>
      </w:r>
    </w:p>
    <w:p>
      <w:r>
        <w:br w:type="page"/>
      </w:r>
    </w:p>
    <w:p>
      <w:pPr>
        <w:pStyle w:val="Heading1"/>
      </w:pPr>
      <w:r>
        <w:rPr>
          <w:color w:val="1F4E79"/>
        </w:rPr>
        <w:t>Executive Summary</w:t>
      </w:r>
    </w:p>
    <w:p>
      <w:pPr>
        <w:spacing w:after="160"/>
      </w:pPr>
      <w:r>
        <w:rPr>
          <w:rFonts w:ascii="Arial" w:hAnsi="Arial"/>
          <w:b w:val="0"/>
          <w:i w:val="0"/>
          <w:sz w:val="22"/>
        </w:rPr>
        <w:t>This page is a short factual overview. The detail appears in the sections that follow.</w:t>
      </w:r>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Claimant</w:t>
            </w:r>
          </w:p>
        </w:tc>
        <w:tc>
          <w:tcPr>
            <w:tcW w:type="dxa" w:w="4703"/>
          </w:tcPr>
          <w:p>
            <w:r>
              <w:rPr>
                <w:rFonts w:ascii="Arial" w:hAnsi="Arial"/>
                <w:sz w:val="20"/>
              </w:rPr>
              <w:t>[CLAIMANT NAME]</w:t>
            </w:r>
          </w:p>
        </w:tc>
      </w:tr>
      <w:tr>
        <w:tc>
          <w:tcPr>
            <w:tcW w:type="dxa" w:w="4703"/>
          </w:tcPr>
          <w:p>
            <w:r>
              <w:rPr>
                <w:rFonts w:ascii="Arial" w:hAnsi="Arial"/>
                <w:sz w:val="20"/>
              </w:rPr>
              <w:t>Supplier</w:t>
            </w:r>
          </w:p>
        </w:tc>
        <w:tc>
          <w:tcPr>
            <w:tcW w:type="dxa" w:w="4703"/>
          </w:tcPr>
          <w:p>
            <w:r>
              <w:rPr>
                <w:rFonts w:ascii="Arial" w:hAnsi="Arial"/>
                <w:sz w:val="20"/>
              </w:rPr>
              <w:t>[SUPPLIER NAME]</w:t>
            </w:r>
          </w:p>
        </w:tc>
      </w:tr>
      <w:tr>
        <w:tc>
          <w:tcPr>
            <w:tcW w:type="dxa" w:w="4703"/>
          </w:tcPr>
          <w:p>
            <w:r>
              <w:rPr>
                <w:rFonts w:ascii="Arial" w:hAnsi="Arial"/>
                <w:sz w:val="20"/>
              </w:rPr>
              <w:t>Broker</w:t>
            </w:r>
          </w:p>
        </w:tc>
        <w:tc>
          <w:tcPr>
            <w:tcW w:type="dxa" w:w="4703"/>
          </w:tcPr>
          <w:p>
            <w:r>
              <w:rPr>
                <w:rFonts w:ascii="Arial" w:hAnsi="Arial"/>
                <w:sz w:val="20"/>
              </w:rPr>
              <w:t>[BROKER NAME]</w:t>
            </w:r>
          </w:p>
        </w:tc>
      </w:tr>
      <w:tr>
        <w:tc>
          <w:tcPr>
            <w:tcW w:type="dxa" w:w="4703"/>
          </w:tcPr>
          <w:p>
            <w:r>
              <w:rPr>
                <w:rFonts w:ascii="Arial" w:hAnsi="Arial"/>
                <w:sz w:val="20"/>
              </w:rPr>
              <w:t>Portfolio</w:t>
            </w:r>
          </w:p>
        </w:tc>
        <w:tc>
          <w:tcPr>
            <w:tcW w:type="dxa" w:w="4703"/>
          </w:tcPr>
          <w:p>
            <w:r>
              <w:rPr>
                <w:rFonts w:ascii="Arial" w:hAnsi="Arial"/>
                <w:sz w:val="20"/>
              </w:rPr>
              <w:t>[number] sites / [number] rate structures</w:t>
            </w:r>
          </w:p>
        </w:tc>
      </w:tr>
      <w:tr>
        <w:tc>
          <w:tcPr>
            <w:tcW w:type="dxa" w:w="4703"/>
          </w:tcPr>
          <w:p>
            <w:r>
              <w:rPr>
                <w:rFonts w:ascii="Arial" w:hAnsi="Arial"/>
                <w:sz w:val="20"/>
              </w:rPr>
              <w:t>Disclosure position on documents examined</w:t>
            </w:r>
          </w:p>
        </w:tc>
        <w:tc>
          <w:tcPr>
            <w:tcW w:type="dxa" w:w="4703"/>
          </w:tcPr>
          <w:p>
            <w:r>
              <w:rPr>
                <w:rFonts w:ascii="Arial" w:hAnsi="Arial"/>
                <w:sz w:val="20"/>
              </w:rPr>
              <w:t>[Fact of commission stated / not stated; amount stated / not stated]</w:t>
            </w:r>
          </w:p>
        </w:tc>
      </w:tr>
      <w:tr>
        <w:tc>
          <w:tcPr>
            <w:tcW w:type="dxa" w:w="4703"/>
          </w:tcPr>
          <w:p>
            <w:r>
              <w:rPr>
                <w:rFonts w:ascii="Arial" w:hAnsi="Arial"/>
                <w:sz w:val="20"/>
              </w:rPr>
              <w:t>Headline quantum (documents currently available)</w:t>
            </w:r>
          </w:p>
        </w:tc>
        <w:tc>
          <w:tcPr>
            <w:tcW w:type="dxa" w:w="4703"/>
          </w:tcPr>
          <w:p>
            <w:r>
              <w:rPr>
                <w:rFonts w:ascii="Arial" w:hAnsi="Arial"/>
                <w:sz w:val="20"/>
              </w:rPr>
              <w:t>£[amount]</w:t>
            </w:r>
          </w:p>
        </w:tc>
      </w:tr>
      <w:tr>
        <w:tc>
          <w:tcPr>
            <w:tcW w:type="dxa" w:w="4703"/>
          </w:tcPr>
          <w:p>
            <w:r>
              <w:rPr>
                <w:rFonts w:ascii="Arial" w:hAnsi="Arial"/>
                <w:sz w:val="20"/>
              </w:rPr>
              <w:t>Commission amount in the documents</w:t>
            </w:r>
          </w:p>
        </w:tc>
        <w:tc>
          <w:tcPr>
            <w:tcW w:type="dxa" w:w="4703"/>
          </w:tcPr>
          <w:p>
            <w:r>
              <w:rPr>
                <w:rFonts w:ascii="Arial" w:hAnsi="Arial"/>
                <w:sz w:val="20"/>
              </w:rPr>
              <w:t>Not stated / £[amount]</w:t>
            </w:r>
          </w:p>
        </w:tc>
      </w:tr>
      <w:tr>
        <w:tc>
          <w:tcPr>
            <w:tcW w:type="dxa" w:w="4703"/>
          </w:tcPr>
          <w:p>
            <w:r>
              <w:rPr>
                <w:rFonts w:ascii="Arial" w:hAnsi="Arial"/>
                <w:sz w:val="20"/>
              </w:rPr>
              <w:t>Main information still outstanding</w:t>
            </w:r>
          </w:p>
        </w:tc>
        <w:tc>
          <w:tcPr>
            <w:tcW w:type="dxa" w:w="4703"/>
          </w:tcPr>
          <w:p>
            <w:r>
              <w:rPr>
                <w:rFonts w:ascii="Arial" w:hAnsi="Arial"/>
                <w:sz w:val="20"/>
              </w:rPr>
              <w:t>Commission amount; [other key gaps]</w:t>
            </w:r>
          </w:p>
        </w:tc>
      </w:tr>
      <w:tr>
        <w:tc>
          <w:tcPr>
            <w:tcW w:type="dxa" w:w="4703"/>
          </w:tcPr>
          <w:p>
            <w:r>
              <w:rPr>
                <w:rFonts w:ascii="Arial" w:hAnsi="Arial"/>
                <w:sz w:val="20"/>
              </w:rPr>
              <w:t>Key factual observations</w:t>
            </w:r>
          </w:p>
        </w:tc>
        <w:tc>
          <w:tcPr>
            <w:tcW w:type="dxa" w:w="4703"/>
          </w:tcPr>
          <w:p>
            <w:r>
              <w:rPr>
                <w:rFonts w:ascii="Arial" w:hAnsi="Arial"/>
                <w:sz w:val="20"/>
              </w:rPr>
              <w:t>See Section 12</w:t>
            </w:r>
          </w:p>
        </w:tc>
      </w:tr>
    </w:tbl>
    <w:p/>
    <w:p>
      <w:pPr>
        <w:spacing w:after="160"/>
      </w:pPr>
      <w:r>
        <w:rPr>
          <w:rFonts w:ascii="Arial" w:hAnsi="Arial"/>
          <w:b w:val="0"/>
          <w:i w:val="0"/>
          <w:sz w:val="22"/>
        </w:rPr>
        <w:t>Possible next steps the instructing solicitor may wish to consider are listed at Section 12.3. They are possibilities only and are not advice.</w:t>
      </w:r>
    </w:p>
    <w:p>
      <w:r>
        <w:br w:type="page"/>
      </w:r>
    </w:p>
    <w:p>
      <w:pPr>
        <w:pStyle w:val="Heading1"/>
      </w:pPr>
      <w:r>
        <w:rPr>
          <w:color w:val="1F4E79"/>
        </w:rPr>
        <w:t>1. Basis of this valuation</w:t>
      </w:r>
    </w:p>
    <w:p>
      <w:pPr>
        <w:spacing w:after="160"/>
      </w:pPr>
      <w:r>
        <w:rPr>
          <w:rFonts w:ascii="Arial" w:hAnsi="Arial"/>
          <w:b w:val="0"/>
          <w:i w:val="0"/>
          <w:sz w:val="22"/>
        </w:rPr>
        <w:t>This is a quantum valuation prepared for the instructing solicitor. It records the figures that can be drawn from the documents currently available and identifies where further information would affect those figures. It does not decide liability and does not contain legal advice.</w:t>
      </w:r>
    </w:p>
    <w:p>
      <w:pPr>
        <w:pStyle w:val="Heading1"/>
      </w:pPr>
      <w:r>
        <w:rPr>
          <w:color w:val="1F4E79"/>
        </w:rPr>
        <w:t>2. Case framing — parties, contracts and meters</w:t>
      </w:r>
    </w:p>
    <w:p>
      <w:pPr>
        <w:spacing w:after="160"/>
      </w:pPr>
      <w:r>
        <w:rPr>
          <w:rFonts w:ascii="Arial" w:hAnsi="Arial"/>
          <w:b w:val="0"/>
          <w:i w:val="0"/>
          <w:sz w:val="22"/>
        </w:rPr>
        <w:t>This section records the data used in the calculation. Every later figure traces back to a value stated here.</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[Trading style], company no. [number]</w:t>
            </w:r>
          </w:p>
        </w:tc>
      </w:tr>
      <w:tr>
        <w:tc>
          <w:tcPr>
            <w:tcW w:type="dxa" w:w="4703"/>
          </w:tcPr>
          <w:p>
            <w:r>
              <w:t>Broker</w:t>
            </w:r>
          </w:p>
        </w:tc>
        <w:tc>
          <w:tcPr>
            <w:tcW w:type="dxa" w:w="4703"/>
          </w:tcPr>
          <w:p>
            <w:r>
              <w:t>[Broker name]</w:t>
            </w:r>
          </w:p>
        </w:tc>
      </w:tr>
      <w:tr>
        <w:tc>
          <w:tcPr>
            <w:tcW w:type="dxa" w:w="4703"/>
          </w:tcPr>
          <w:p>
            <w:r>
              <w:t>Supplier</w:t>
            </w:r>
          </w:p>
        </w:tc>
        <w:tc>
          <w:tcPr>
            <w:tcW w:type="dxa" w:w="4703"/>
          </w:tcPr>
          <w:p>
            <w:r>
              <w:t>[Supplier name]</w:t>
            </w:r>
          </w:p>
        </w:tc>
      </w:tr>
    </w:tbl>
    <w:p>
      <w:pPr>
        <w:pStyle w:val="Heading2"/>
      </w:pPr>
      <w:r>
        <w:rPr>
          <w:color w:val="1F4E79"/>
        </w:rPr>
        <w:t>2.2 Contracts and meters</w:t>
      </w:r>
    </w:p>
    <w:p>
      <w:pPr>
        <w:spacing w:after="160"/>
      </w:pPr>
      <w:r>
        <w:rPr>
          <w:rFonts w:ascii="Arial" w:hAnsi="Arial"/>
          <w:b w:val="0"/>
          <w:i w:val="0"/>
          <w:sz w:val="22"/>
        </w:rPr>
        <w:t>Contract details, rates, standing charges and consumption figures are taken from the documents listed in the Document Schedule (Section 11).</w:t>
      </w:r>
    </w:p>
    <w:p>
      <w:pPr>
        <w:spacing w:after="160"/>
      </w:pPr>
      <w:r>
        <w:rPr>
          <w:rFonts w:ascii="Arial" w:hAnsi="Arial"/>
          <w:b w:val="0"/>
          <w:i/>
          <w:sz w:val="22"/>
        </w:rPr>
        <w:t>Disclosure position on the documents examined</w:t>
        <w:br/>
        <w:t>The documents show [the fact of commission was / was not stated; the amount was / was not stated]. This is recorded because it affects which measure of quantum is available.</w:t>
      </w:r>
    </w:p>
    <w:p>
      <w:pPr>
        <w:pStyle w:val="Heading1"/>
      </w:pPr>
      <w:r>
        <w:rPr>
          <w:color w:val="1F4E79"/>
        </w:rPr>
        <w:t>3. Legal framework used for the figures</w:t>
      </w:r>
    </w:p>
    <w:p>
      <w:pPr>
        <w:spacing w:after="160"/>
      </w:pPr>
      <w:r>
        <w:rPr>
          <w:rFonts w:ascii="Arial" w:hAnsi="Arial"/>
          <w:b w:val="0"/>
          <w:i w:val="0"/>
          <w:sz w:val="22"/>
        </w:rPr>
        <w:t>The calculation follows the measure set out in Wood v Commercial First Business Ltd [2021] EWCA Civ 471 (rescission with counter-restitution). Reference is also made to Bristol &amp; West Building Society v Mothew [1998] Ch 1, Hopcraft / Johnson / Wrench [2025] UKSC 33, and Expert Tooling v Engie [2025] EWCA Civ 292 as the framework used to organise the figures. These authorities are cited for reference only. This document does not contain legal advice.</w:t>
      </w:r>
    </w:p>
    <w:p>
      <w:pPr>
        <w:pStyle w:val="Heading1"/>
      </w:pPr>
      <w:r>
        <w:rPr>
          <w:color w:val="1F4E79"/>
        </w:rPr>
        <w:t>4. The commission figure</w:t>
      </w:r>
    </w:p>
    <w:p>
      <w:pPr>
        <w:spacing w:after="160"/>
      </w:pPr>
      <w:r>
        <w:rPr>
          <w:rFonts w:ascii="Arial" w:hAnsi="Arial"/>
          <w:b w:val="0"/>
          <w:i w:val="0"/>
          <w:sz w:val="22"/>
        </w:rPr>
        <w:t>Where a document states the commission amount, that figure is used. Where no such figure appears in the documents examined, the commission amount is left blank. No percentage or pence-per-kWh figure is inserted in the absence of a source.</w:t>
      </w:r>
    </w:p>
    <w:p>
      <w:pPr>
        <w:pStyle w:val="Heading1"/>
      </w:pPr>
      <w:r>
        <w:rPr>
          <w:color w:val="1F4E79"/>
        </w:rPr>
        <w:t>5. Primary quantum — rescission measure</w:t>
      </w:r>
    </w:p>
    <w:p>
      <w:pPr>
        <w:spacing w:after="160"/>
      </w:pPr>
      <w:r>
        <w:rPr>
          <w:rFonts w:ascii="Arial" w:hAnsi="Arial"/>
          <w:b w:val="0"/>
          <w:i w:val="0"/>
          <w:sz w:val="22"/>
        </w:rPr>
        <w:t>Following the measure in Wood, the calculation is:</w:t>
      </w:r>
    </w:p>
    <w:p>
      <w:pPr>
        <w:spacing w:after="160"/>
      </w:pPr>
      <w:r>
        <w:rPr>
          <w:rFonts w:ascii="Arial" w:hAnsi="Arial"/>
          <w:b/>
          <w:i w:val="0"/>
          <w:sz w:val="22"/>
        </w:rPr>
        <w:t>Rescission quantum = (A + B) − (C + D)</w:t>
      </w:r>
    </w:p>
    <w:p>
      <w:pPr>
        <w:spacing w:after="160"/>
      </w:pPr>
      <w:r>
        <w:rPr>
          <w:rFonts w:ascii="Arial" w:hAnsi="Arial"/>
          <w:b w:val="0"/>
          <w:i w:val="0"/>
          <w:sz w:val="22"/>
        </w:rPr>
        <w:t>A — sums paid by the claimant under the contract.</w:t>
      </w:r>
    </w:p>
    <w:p>
      <w:pPr>
        <w:spacing w:after="160"/>
      </w:pPr>
      <w:r>
        <w:rPr>
          <w:rFonts w:ascii="Arial" w:hAnsi="Arial"/>
          <w:b w:val="0"/>
          <w:i w:val="0"/>
          <w:sz w:val="22"/>
        </w:rPr>
        <w:t>B — interest on A.</w:t>
      </w:r>
    </w:p>
    <w:p>
      <w:pPr>
        <w:spacing w:after="160"/>
      </w:pPr>
      <w:r>
        <w:rPr>
          <w:rFonts w:ascii="Arial" w:hAnsi="Arial"/>
          <w:b w:val="0"/>
          <w:i w:val="0"/>
          <w:sz w:val="22"/>
        </w:rPr>
        <w:t>C — the supplier’s cost of the energy supplied (the wholesale series used is identified).</w:t>
      </w:r>
    </w:p>
    <w:p>
      <w:pPr>
        <w:spacing w:after="160"/>
      </w:pPr>
      <w:r>
        <w:rPr>
          <w:rFonts w:ascii="Arial" w:hAnsi="Arial"/>
          <w:b w:val="0"/>
          <w:i w:val="0"/>
          <w:sz w:val="22"/>
        </w:rPr>
        <w:t>D — interest on C.</w:t>
      </w:r>
    </w:p>
    <w:p>
      <w:pPr>
        <w:spacing w:after="160"/>
      </w:pPr>
      <w:r>
        <w:rPr>
          <w:rFonts w:ascii="Arial" w:hAnsi="Arial"/>
          <w:b w:val="0"/>
          <w:i w:val="0"/>
          <w:sz w:val="22"/>
        </w:rPr>
        <w:t>The wholesale series used is identified in the text or in Appendix B. If the supplier later provides its own cost data, the figure can be recalculated.</w:t>
      </w:r>
    </w:p>
    <w:p>
      <w:pPr>
        <w:pStyle w:val="Heading1"/>
      </w:pPr>
      <w:r>
        <w:rPr>
          <w:color w:val="1F4E79"/>
        </w:rPr>
        <w:t>6. Fall-back quantum — commission only</w:t>
      </w:r>
    </w:p>
    <w:p>
      <w:pPr>
        <w:spacing w:after="160"/>
      </w:pPr>
      <w:r>
        <w:rPr>
          <w:rFonts w:ascii="Arial" w:hAnsi="Arial"/>
          <w:b w:val="0"/>
          <w:i w:val="0"/>
          <w:sz w:val="22"/>
        </w:rPr>
        <w:t>If the rescission measure is not available, the alternative measure is the amount of the commission itself. That amount is taken only from a document that states it. If no such document is available, the figure is left blank.</w:t>
      </w:r>
    </w:p>
    <w:p>
      <w:pPr>
        <w:pStyle w:val="Heading1"/>
      </w:pPr>
      <w:r>
        <w:rPr>
          <w:color w:val="1F4E79"/>
        </w:rPr>
        <w:t>7. Interest</w:t>
      </w:r>
    </w:p>
    <w:p>
      <w:pPr>
        <w:spacing w:after="160"/>
      </w:pPr>
      <w:r>
        <w:rPr>
          <w:rFonts w:ascii="Arial" w:hAnsi="Arial"/>
          <w:b w:val="0"/>
          <w:i w:val="0"/>
          <w:sz w:val="22"/>
        </w:rPr>
        <w:t>Interest is calculated using the rates and periods stated in the calculation tables (Appendix C). The basis used is recorded against each figure. No interest is calculated on a figure that has not been taken from a document.</w:t>
      </w:r>
    </w:p>
    <w:p>
      <w:pPr>
        <w:pStyle w:val="Heading1"/>
      </w:pPr>
      <w:r>
        <w:rPr>
          <w:color w:val="1F4E79"/>
        </w:rPr>
        <w:t>8. Quantum summary</w:t>
      </w:r>
    </w:p>
    <w:p>
      <w:pPr>
        <w:spacing w:after="160"/>
      </w:pPr>
      <w:r>
        <w:rPr>
          <w:rFonts w:ascii="Arial" w:hAnsi="Arial"/>
          <w:b w:val="0"/>
          <w:i w:val="0"/>
          <w:sz w:val="22"/>
        </w:rPr>
        <w:t>The figures currently available are brought together here. Where a figure is missing because the source document has not been provided, that is stated.</w:t>
      </w:r>
    </w:p>
    <w:p>
      <w:pPr>
        <w:pStyle w:val="Heading1"/>
      </w:pPr>
      <w:r>
        <w:rPr>
          <w:color w:val="1F4E79"/>
        </w:rPr>
        <w:t>9. What moves the figures</w:t>
      </w:r>
    </w:p>
    <w:p>
      <w:pPr>
        <w:spacing w:after="160"/>
      </w:pPr>
      <w:r>
        <w:rPr>
          <w:rFonts w:ascii="Arial" w:hAnsi="Arial"/>
          <w:b w:val="0"/>
          <w:i w:val="0"/>
          <w:sz w:val="22"/>
        </w:rPr>
        <w:t>The main variables that affect the quantum are listed here so the instructing solicitor can see which further information would change the total.</w:t>
      </w:r>
    </w:p>
    <w:p>
      <w:pPr>
        <w:pStyle w:val="Heading1"/>
      </w:pPr>
      <w:r>
        <w:rPr>
          <w:color w:val="1F4E79"/>
        </w:rPr>
        <w:t>10. Assumptions and missing information</w:t>
      </w:r>
    </w:p>
    <w:p>
      <w:pPr>
        <w:spacing w:after="160"/>
      </w:pPr>
      <w:r>
        <w:rPr>
          <w:rFonts w:ascii="Arial" w:hAnsi="Arial"/>
          <w:b w:val="0"/>
          <w:i w:val="0"/>
          <w:sz w:val="22"/>
        </w:rPr>
        <w:t>Where a figure has been derived because the source document is not available, the derivation is stated here. Each item can be replaced when the source document is obtained.</w:t>
      </w:r>
    </w:p>
    <w:p>
      <w:pPr>
        <w:pStyle w:val="Heading1"/>
      </w:pPr>
      <w:r>
        <w:rPr>
          <w:color w:val="1F4E79"/>
        </w:rPr>
        <w:t>11. Document Schedule and Commentary</w:t>
      </w:r>
    </w:p>
    <w:p>
      <w:pPr>
        <w:spacing w:after="160"/>
      </w:pPr>
      <w:r>
        <w:rPr>
          <w:rFonts w:ascii="Arial" w:hAnsi="Arial"/>
          <w:b w:val="0"/>
          <w:i w:val="0"/>
          <w:sz w:val="22"/>
        </w:rPr>
        <w:t>This section lists every document examined. For each document it records, as a matter of fact:</w:t>
      </w:r>
    </w:p>
    <w:p>
      <w:pPr>
        <w:spacing w:after="160"/>
      </w:pPr>
      <w:r>
        <w:rPr>
          <w:rFonts w:ascii="Arial" w:hAnsi="Arial"/>
          <w:b w:val="0"/>
          <w:i w:val="0"/>
          <w:sz w:val="22"/>
        </w:rPr>
        <w:t>• what the document is and its date;</w:t>
      </w:r>
    </w:p>
    <w:p>
      <w:pPr>
        <w:spacing w:after="160"/>
      </w:pPr>
      <w:r>
        <w:rPr>
          <w:rFonts w:ascii="Arial" w:hAnsi="Arial"/>
          <w:b w:val="0"/>
          <w:i w:val="0"/>
          <w:sz w:val="22"/>
        </w:rPr>
        <w:t>• how the document was used in this valuation;</w:t>
      </w:r>
    </w:p>
    <w:p>
      <w:pPr>
        <w:spacing w:after="160"/>
      </w:pPr>
      <w:r>
        <w:rPr>
          <w:rFonts w:ascii="Arial" w:hAnsi="Arial"/>
          <w:b w:val="0"/>
          <w:i w:val="0"/>
          <w:sz w:val="22"/>
        </w:rPr>
        <w:t>• any feature of the document that is inconsistent with another document, or that is incomplete;</w:t>
      </w:r>
    </w:p>
    <w:p>
      <w:pPr>
        <w:spacing w:after="160"/>
      </w:pPr>
      <w:r>
        <w:rPr>
          <w:rFonts w:ascii="Arial" w:hAnsi="Arial"/>
          <w:b w:val="0"/>
          <w:i w:val="0"/>
          <w:sz w:val="22"/>
        </w:rPr>
        <w:t>• other ways the same document may be relevant (authority, limitation, further requests, comparison of rates or terms).</w:t>
      </w:r>
    </w:p>
    <w:p>
      <w:pPr>
        <w:spacing w:after="160"/>
      </w:pPr>
      <w:r>
        <w:rPr>
          <w:rFonts w:ascii="Arial" w:hAnsi="Arial"/>
          <w:b w:val="0"/>
          <w:i w:val="0"/>
          <w:sz w:val="22"/>
        </w:rPr>
        <w:t>All statements are taken from the face of the documents themselves. No opinion is expressed on the legal effect of any inconsistency.</w:t>
      </w:r>
    </w:p>
    <w:p>
      <w:pPr>
        <w:spacing w:after="160"/>
      </w:pPr>
      <w:r>
        <w:rPr>
          <w:rFonts w:ascii="Arial" w:hAnsi="Arial"/>
          <w:b w:val="0"/>
          <w:i/>
          <w:sz w:val="22"/>
        </w:rPr>
        <w:t>[The schedule is completed once the documents for the case have been examined.]</w:t>
      </w:r>
    </w:p>
    <w:p>
      <w:pPr>
        <w:pStyle w:val="Heading1"/>
      </w:pPr>
      <w:r>
        <w:rPr>
          <w:color w:val="1F4E79"/>
        </w:rPr>
        <w:t>12. Observed issues and possible next steps</w:t>
      </w:r>
    </w:p>
    <w:p>
      <w:pPr>
        <w:spacing w:after="160"/>
      </w:pPr>
      <w:r>
        <w:rPr>
          <w:rFonts w:ascii="Arial" w:hAnsi="Arial"/>
          <w:b w:val="0"/>
          <w:i w:val="0"/>
          <w:sz w:val="22"/>
        </w:rPr>
        <w:t>The points below are factual observations drawn from the documents. They are listed so the instructing solicitor can consider them. No recommendation is made; each is a matter for the instructing solicitor.</w:t>
      </w:r>
    </w:p>
    <w:p>
      <w:pPr>
        <w:pStyle w:val="Heading2"/>
      </w:pPr>
      <w:r>
        <w:rPr>
          <w:color w:val="1F4E79"/>
        </w:rPr>
        <w:t>12.1 Observed issues (factual)</w:t>
      </w:r>
    </w:p>
    <w:p>
      <w:pPr>
        <w:spacing w:after="160"/>
      </w:pPr>
      <w:r>
        <w:rPr>
          <w:rFonts w:ascii="Arial" w:hAnsi="Arial"/>
          <w:b w:val="0"/>
          <w:i w:val="0"/>
          <w:sz w:val="22"/>
        </w:rPr>
        <w:t>• [Issue stated purely as fact, with the source document and date.]</w:t>
      </w:r>
    </w:p>
    <w:p>
      <w:pPr>
        <w:pStyle w:val="Heading2"/>
      </w:pPr>
      <w:r>
        <w:rPr>
          <w:color w:val="1F4E79"/>
        </w:rPr>
        <w:t>12.2 Information not yet available</w:t>
      </w:r>
    </w:p>
    <w:p>
      <w:pPr>
        <w:spacing w:after="160"/>
      </w:pPr>
      <w:r>
        <w:rPr>
          <w:rFonts w:ascii="Arial" w:hAnsi="Arial"/>
          <w:b w:val="0"/>
          <w:i w:val="0"/>
          <w:sz w:val="22"/>
        </w:rPr>
        <w:t>• The commission amount paid by the supplier to the broker does not appear in the documents examined.</w:t>
      </w:r>
    </w:p>
    <w:p>
      <w:pPr>
        <w:spacing w:after="160"/>
      </w:pPr>
      <w:r>
        <w:rPr>
          <w:rFonts w:ascii="Arial" w:hAnsi="Arial"/>
          <w:b w:val="0"/>
          <w:i w:val="0"/>
          <w:sz w:val="22"/>
        </w:rPr>
        <w:t>• [Any other missing data, stated as fact.]</w:t>
      </w:r>
    </w:p>
    <w:p>
      <w:pPr>
        <w:pStyle w:val="Heading2"/>
      </w:pPr>
      <w:r>
        <w:rPr>
          <w:color w:val="1F4E79"/>
        </w:rPr>
        <w:t>12.3 Possible next steps the instructing solicitor may wish to consider</w:t>
      </w:r>
    </w:p>
    <w:p>
      <w:pPr>
        <w:spacing w:after="160"/>
      </w:pPr>
      <w:r>
        <w:rPr>
          <w:rFonts w:ascii="Arial" w:hAnsi="Arial"/>
          <w:b w:val="0"/>
          <w:i w:val="0"/>
          <w:sz w:val="22"/>
        </w:rPr>
        <w:t>The following are possibilities only. They are not advice.</w:t>
      </w:r>
    </w:p>
    <w:p>
      <w:pPr>
        <w:spacing w:after="160"/>
      </w:pPr>
      <w:r>
        <w:rPr>
          <w:rFonts w:ascii="Arial" w:hAnsi="Arial"/>
          <w:b w:val="0"/>
          <w:i w:val="0"/>
          <w:sz w:val="22"/>
        </w:rPr>
        <w:t>• Request from the supplier the amount of any commission paid to the broker.</w:t>
      </w:r>
    </w:p>
    <w:p>
      <w:pPr>
        <w:spacing w:after="160"/>
      </w:pPr>
      <w:r>
        <w:rPr>
          <w:rFonts w:ascii="Arial" w:hAnsi="Arial"/>
          <w:b w:val="0"/>
          <w:i w:val="0"/>
          <w:sz w:val="22"/>
        </w:rPr>
        <w:t>• Request the supplier’s cost build-up or the wholesale series actually used.</w:t>
      </w:r>
    </w:p>
    <w:p>
      <w:pPr>
        <w:spacing w:after="160"/>
      </w:pPr>
      <w:r>
        <w:rPr>
          <w:rFonts w:ascii="Arial" w:hAnsi="Arial"/>
          <w:b w:val="0"/>
          <w:i w:val="0"/>
          <w:sz w:val="22"/>
        </w:rPr>
        <w:t>• Obtain actual consumption data for any multi-rate meters.</w:t>
      </w:r>
    </w:p>
    <w:p>
      <w:pPr>
        <w:spacing w:after="160"/>
      </w:pPr>
      <w:r>
        <w:rPr>
          <w:rFonts w:ascii="Arial" w:hAnsi="Arial"/>
          <w:b w:val="0"/>
          <w:i w:val="0"/>
          <w:sz w:val="22"/>
        </w:rPr>
        <w:t>• Clarify the authority of any person who signed a letter of authority or contract.</w:t>
      </w:r>
    </w:p>
    <w:p>
      <w:pPr>
        <w:spacing w:after="160"/>
      </w:pPr>
      <w:r>
        <w:rPr>
          <w:rFonts w:ascii="Arial" w:hAnsi="Arial"/>
          <w:b w:val="0"/>
          <w:i w:val="0"/>
          <w:sz w:val="22"/>
        </w:rPr>
        <w:t>• Consider whether any further documents are needed before correspondence is sent to the supplier.</w:t>
      </w:r>
    </w:p>
    <w:p>
      <w:pPr>
        <w:pStyle w:val="Heading1"/>
      </w:pPr>
      <w:r>
        <w:rPr>
          <w:color w:val="1F4E79"/>
        </w:rPr>
        <w:t>13. Disclosure of material facts — factual comparison</w:t>
      </w:r>
    </w:p>
    <w:p>
      <w:pPr>
        <w:spacing w:after="160"/>
      </w:pPr>
      <w:r>
        <w:rPr>
          <w:rFonts w:ascii="Arial" w:hAnsi="Arial"/>
          <w:b w:val="0"/>
          <w:i w:val="0"/>
          <w:sz w:val="22"/>
        </w:rPr>
        <w:t>Expert Tooling and Automation Ltd v Engie Power Ltd [2025] EWCA Civ 292 sets out material facts that have been treated as relevant to informed consent. The table below records, as a matter of fact, whether each of those points appears in the documents examined. No conclusion is drawn about the legal effect.</w:t>
      </w:r>
    </w:p>
    <w:tbl>
      <w:tblPr>
        <w:tblStyle w:val="TableGrid"/>
        <w:tblW w:type="auto" w:w="0"/>
        <w:tblLook w:firstColumn="1" w:firstRow="1" w:lastColumn="0" w:lastRow="0" w:noHBand="0" w:noVBand="1" w:val="04A0"/>
      </w:tblPr>
      <w:tblGrid>
        <w:gridCol w:w="3135"/>
        <w:gridCol w:w="3135"/>
        <w:gridCol w:w="3135"/>
      </w:tblGrid>
      <w:tr>
        <w:tc>
          <w:tcPr>
            <w:tcW w:type="dxa" w:w="3135"/>
          </w:tcPr>
          <w:p>
            <w:r>
              <w:rPr>
                <w:b/>
                <w:sz w:val="18"/>
              </w:rPr>
              <w:t>Material fact (as described in Expert Tooling)</w:t>
            </w:r>
          </w:p>
        </w:tc>
        <w:tc>
          <w:tcPr>
            <w:tcW w:type="dxa" w:w="3135"/>
          </w:tcPr>
          <w:p>
            <w:r>
              <w:rPr>
                <w:b/>
                <w:sz w:val="18"/>
              </w:rPr>
              <w:t>Appears in the documents examined?</w:t>
            </w:r>
          </w:p>
        </w:tc>
        <w:tc>
          <w:tcPr>
            <w:tcW w:type="dxa" w:w="3135"/>
          </w:tcPr>
          <w:p>
            <w:r>
              <w:rPr>
                <w:b/>
                <w:sz w:val="18"/>
              </w:rPr>
              <w:t>Source document (if any)</w:t>
            </w:r>
          </w:p>
        </w:tc>
      </w:tr>
      <w:tr>
        <w:tc>
          <w:tcPr>
            <w:tcW w:type="dxa" w:w="3135"/>
          </w:tcPr>
          <w:p>
            <w:r>
              <w:rPr>
                <w:sz w:val="18"/>
              </w:rPr>
              <w:t>The amount of the commission</w:t>
            </w:r>
          </w:p>
        </w:tc>
        <w:tc>
          <w:tcPr>
            <w:tcW w:type="dxa" w:w="3135"/>
          </w:tcPr>
          <w:p>
            <w:r>
              <w:rPr>
                <w:sz w:val="18"/>
              </w:rPr>
              <w:t>Yes / No</w:t>
            </w:r>
          </w:p>
        </w:tc>
        <w:tc>
          <w:tcPr>
            <w:tcW w:type="dxa" w:w="3135"/>
          </w:tcPr>
          <w:p>
            <w:r>
              <w:rPr>
                <w:sz w:val="18"/>
              </w:rPr>
              <w:t>[document or ‘none’]</w:t>
            </w:r>
          </w:p>
        </w:tc>
      </w:tr>
      <w:tr>
        <w:tc>
          <w:tcPr>
            <w:tcW w:type="dxa" w:w="3135"/>
          </w:tcPr>
          <w:p>
            <w:r>
              <w:rPr>
                <w:sz w:val="18"/>
              </w:rPr>
              <w:t>That the commission was added to the unit price</w:t>
            </w:r>
          </w:p>
        </w:tc>
        <w:tc>
          <w:tcPr>
            <w:tcW w:type="dxa" w:w="3135"/>
          </w:tcPr>
          <w:p>
            <w:r>
              <w:rPr>
                <w:sz w:val="18"/>
              </w:rPr>
              <w:t>Yes / No</w:t>
            </w:r>
          </w:p>
        </w:tc>
        <w:tc>
          <w:tcPr>
            <w:tcW w:type="dxa" w:w="3135"/>
          </w:tcPr>
          <w:p>
            <w:r>
              <w:rPr>
                <w:sz w:val="18"/>
              </w:rPr>
              <w:t>[document or ‘none’]</w:t>
            </w:r>
          </w:p>
        </w:tc>
      </w:tr>
      <w:tr>
        <w:tc>
          <w:tcPr>
            <w:tcW w:type="dxa" w:w="3135"/>
          </w:tcPr>
          <w:p>
            <w:r>
              <w:rPr>
                <w:sz w:val="18"/>
              </w:rPr>
              <w:t>The impact on the length of the contract</w:t>
            </w:r>
          </w:p>
        </w:tc>
        <w:tc>
          <w:tcPr>
            <w:tcW w:type="dxa" w:w="3135"/>
          </w:tcPr>
          <w:p>
            <w:r>
              <w:rPr>
                <w:sz w:val="18"/>
              </w:rPr>
              <w:t>Yes / No</w:t>
            </w:r>
          </w:p>
        </w:tc>
        <w:tc>
          <w:tcPr>
            <w:tcW w:type="dxa" w:w="3135"/>
          </w:tcPr>
          <w:p>
            <w:r>
              <w:rPr>
                <w:sz w:val="18"/>
              </w:rPr>
              <w:t>[document or ‘none’]</w:t>
            </w:r>
          </w:p>
        </w:tc>
      </w:tr>
      <w:tr>
        <w:tc>
          <w:tcPr>
            <w:tcW w:type="dxa" w:w="3135"/>
          </w:tcPr>
          <w:p>
            <w:r>
              <w:rPr>
                <w:sz w:val="18"/>
              </w:rPr>
              <w:t>That the broker had a discretion in relation to the commission</w:t>
            </w:r>
          </w:p>
        </w:tc>
        <w:tc>
          <w:tcPr>
            <w:tcW w:type="dxa" w:w="3135"/>
          </w:tcPr>
          <w:p>
            <w:r>
              <w:rPr>
                <w:sz w:val="18"/>
              </w:rPr>
              <w:t>Yes / No</w:t>
            </w:r>
          </w:p>
        </w:tc>
        <w:tc>
          <w:tcPr>
            <w:tcW w:type="dxa" w:w="3135"/>
          </w:tcPr>
          <w:p>
            <w:r>
              <w:rPr>
                <w:sz w:val="18"/>
              </w:rPr>
              <w:t>[document or ‘none’]</w:t>
            </w:r>
          </w:p>
        </w:tc>
      </w:tr>
      <w:tr>
        <w:tc>
          <w:tcPr>
            <w:tcW w:type="dxa" w:w="3135"/>
          </w:tcPr>
          <w:p>
            <w:r>
              <w:rPr>
                <w:sz w:val="18"/>
              </w:rPr>
              <w:t>That the commission was paid up-front</w:t>
            </w:r>
          </w:p>
        </w:tc>
        <w:tc>
          <w:tcPr>
            <w:tcW w:type="dxa" w:w="3135"/>
          </w:tcPr>
          <w:p>
            <w:r>
              <w:rPr>
                <w:sz w:val="18"/>
              </w:rPr>
              <w:t>Yes / No</w:t>
            </w:r>
          </w:p>
        </w:tc>
        <w:tc>
          <w:tcPr>
            <w:tcW w:type="dxa" w:w="3135"/>
          </w:tcPr>
          <w:p>
            <w:r>
              <w:rPr>
                <w:sz w:val="18"/>
              </w:rPr>
              <w:t>[document or ‘none’]</w:t>
            </w:r>
          </w:p>
        </w:tc>
      </w:tr>
    </w:tbl>
    <w:p/>
    <w:p>
      <w:pPr>
        <w:spacing w:after="160"/>
      </w:pPr>
      <w:r>
        <w:rPr>
          <w:rFonts w:ascii="Arial" w:hAnsi="Arial"/>
          <w:b w:val="0"/>
          <w:i w:val="0"/>
          <w:sz w:val="22"/>
        </w:rPr>
        <w:t>This table is a factual record only. It does not express any view on whether disclosure was adequate.</w:t>
      </w:r>
    </w:p>
    <w:p>
      <w:pPr>
        <w:pStyle w:val="Heading1"/>
      </w:pPr>
      <w:r>
        <w:rPr>
          <w:color w:val="1F4E79"/>
        </w:rPr>
        <w:t>14. Limitation — factual snapshot</w:t>
      </w:r>
    </w:p>
    <w:p>
      <w:pPr>
        <w:spacing w:after="160"/>
      </w:pPr>
      <w:r>
        <w:rPr>
          <w:rFonts w:ascii="Arial" w:hAnsi="Arial"/>
          <w:b w:val="0"/>
          <w:i w:val="0"/>
          <w:sz w:val="22"/>
        </w:rPr>
        <w:t>The documents examined show the following dates that may be relevant to limitation:</w:t>
      </w:r>
    </w:p>
    <w:p>
      <w:pPr>
        <w:spacing w:after="160"/>
      </w:pPr>
      <w:r>
        <w:rPr>
          <w:rFonts w:ascii="Arial" w:hAnsi="Arial"/>
          <w:b w:val="0"/>
          <w:i w:val="0"/>
          <w:sz w:val="22"/>
        </w:rPr>
        <w:t>• Date of the earliest contract / acceptance form: [date]</w:t>
      </w:r>
    </w:p>
    <w:p>
      <w:pPr>
        <w:spacing w:after="160"/>
      </w:pPr>
      <w:r>
        <w:rPr>
          <w:rFonts w:ascii="Arial" w:hAnsi="Arial"/>
          <w:b w:val="0"/>
          <w:i w:val="0"/>
          <w:sz w:val="22"/>
        </w:rPr>
        <w:t>• Date of the LOA (if any): [date]</w:t>
      </w:r>
    </w:p>
    <w:p>
      <w:pPr>
        <w:spacing w:after="160"/>
      </w:pPr>
      <w:r>
        <w:rPr>
          <w:rFonts w:ascii="Arial" w:hAnsi="Arial"/>
          <w:b w:val="0"/>
          <w:i w:val="0"/>
          <w:sz w:val="22"/>
        </w:rPr>
        <w:t>• Date of any later corrected forms or welcome letters: [date]</w:t>
      </w:r>
    </w:p>
    <w:p>
      <w:pPr>
        <w:spacing w:after="160"/>
      </w:pPr>
      <w:r>
        <w:rPr>
          <w:rFonts w:ascii="Arial" w:hAnsi="Arial"/>
          <w:b w:val="0"/>
          <w:i w:val="0"/>
          <w:sz w:val="22"/>
        </w:rPr>
        <w:t>• Date the documents were first examined for this valuation: [date]</w:t>
      </w:r>
    </w:p>
    <w:p>
      <w:pPr>
        <w:spacing w:after="160"/>
      </w:pPr>
      <w:r>
        <w:rPr>
          <w:rFonts w:ascii="Arial" w:hAnsi="Arial"/>
          <w:b w:val="0"/>
          <w:i w:val="0"/>
          <w:sz w:val="22"/>
        </w:rPr>
        <w:t>No view is expressed on when the claimant first had knowledge for the purposes of section 32 of the Limitation Act 1980, or on any other limitation issue. Those are matters for the instructing solicitor.</w:t>
      </w:r>
    </w:p>
    <w:p>
      <w:pPr>
        <w:pStyle w:val="Heading1"/>
      </w:pPr>
      <w:r>
        <w:rPr>
          <w:color w:val="1F4E79"/>
        </w:rPr>
        <w:t>15. Factual dependencies and observed risks</w:t>
      </w:r>
    </w:p>
    <w:p>
      <w:pPr>
        <w:spacing w:after="160"/>
      </w:pPr>
      <w:r>
        <w:rPr>
          <w:rFonts w:ascii="Arial" w:hAnsi="Arial"/>
          <w:b w:val="0"/>
          <w:i w:val="0"/>
          <w:sz w:val="22"/>
        </w:rPr>
        <w:t>The table below records factual dependencies that affect the figures or the usability of the documents. It is provided so the instructing solicitor can see at a glance what remains outstanding.</w:t>
      </w:r>
    </w:p>
    <w:tbl>
      <w:tblPr>
        <w:tblStyle w:val="TableGrid"/>
        <w:tblW w:type="auto" w:w="0"/>
        <w:tblLook w:firstColumn="1" w:firstRow="1" w:lastColumn="0" w:lastRow="0" w:noHBand="0" w:noVBand="1" w:val="04A0"/>
      </w:tblPr>
      <w:tblGrid>
        <w:gridCol w:w="3135"/>
        <w:gridCol w:w="3135"/>
        <w:gridCol w:w="3135"/>
      </w:tblGrid>
      <w:tr>
        <w:tc>
          <w:tcPr>
            <w:tcW w:type="dxa" w:w="3135"/>
          </w:tcPr>
          <w:p>
            <w:r>
              <w:rPr>
                <w:b/>
                <w:sz w:val="18"/>
              </w:rPr>
              <w:t>Item</w:t>
            </w:r>
          </w:p>
        </w:tc>
        <w:tc>
          <w:tcPr>
            <w:tcW w:type="dxa" w:w="3135"/>
          </w:tcPr>
          <w:p>
            <w:r>
              <w:rPr>
                <w:b/>
                <w:sz w:val="18"/>
              </w:rPr>
              <w:t>Status on the documents examined</w:t>
            </w:r>
          </w:p>
        </w:tc>
        <w:tc>
          <w:tcPr>
            <w:tcW w:type="dxa" w:w="3135"/>
          </w:tcPr>
          <w:p>
            <w:r>
              <w:rPr>
                <w:b/>
                <w:sz w:val="18"/>
              </w:rPr>
              <w:t>Effect on the figures if unresolved</w:t>
            </w:r>
          </w:p>
        </w:tc>
      </w:tr>
      <w:tr>
        <w:tc>
          <w:tcPr>
            <w:tcW w:type="dxa" w:w="3135"/>
          </w:tcPr>
          <w:p>
            <w:r>
              <w:rPr>
                <w:sz w:val="18"/>
              </w:rPr>
              <w:t>Commission amount</w:t>
            </w:r>
          </w:p>
        </w:tc>
        <w:tc>
          <w:tcPr>
            <w:tcW w:type="dxa" w:w="3135"/>
          </w:tcPr>
          <w:p>
            <w:r>
              <w:rPr>
                <w:sz w:val="18"/>
              </w:rPr>
              <w:t>Not stated / Stated</w:t>
            </w:r>
          </w:p>
        </w:tc>
        <w:tc>
          <w:tcPr>
            <w:tcW w:type="dxa" w:w="3135"/>
          </w:tcPr>
          <w:p>
            <w:r>
              <w:rPr>
                <w:sz w:val="18"/>
              </w:rPr>
              <w:t>Fall-back quantum cannot be calculated / Available</w:t>
            </w:r>
          </w:p>
        </w:tc>
      </w:tr>
      <w:tr>
        <w:tc>
          <w:tcPr>
            <w:tcW w:type="dxa" w:w="3135"/>
          </w:tcPr>
          <w:p>
            <w:r>
              <w:rPr>
                <w:sz w:val="18"/>
              </w:rPr>
              <w:t>Multi-rate register splits</w:t>
            </w:r>
          </w:p>
        </w:tc>
        <w:tc>
          <w:tcPr>
            <w:tcW w:type="dxa" w:w="3135"/>
          </w:tcPr>
          <w:p>
            <w:r>
              <w:rPr>
                <w:sz w:val="18"/>
              </w:rPr>
              <w:t>Not shown / Shown</w:t>
            </w:r>
          </w:p>
        </w:tc>
        <w:tc>
          <w:tcPr>
            <w:tcW w:type="dxa" w:w="3135"/>
          </w:tcPr>
          <w:p>
            <w:r>
              <w:rPr>
                <w:sz w:val="18"/>
              </w:rPr>
              <w:t>Figure remains estimated / Figure can be fixed</w:t>
            </w:r>
          </w:p>
        </w:tc>
      </w:tr>
      <w:tr>
        <w:tc>
          <w:tcPr>
            <w:tcW w:type="dxa" w:w="3135"/>
          </w:tcPr>
          <w:p>
            <w:r>
              <w:rPr>
                <w:sz w:val="18"/>
              </w:rPr>
              <w:t>Signatory authority</w:t>
            </w:r>
          </w:p>
        </w:tc>
        <w:tc>
          <w:tcPr>
            <w:tcW w:type="dxa" w:w="3135"/>
          </w:tcPr>
          <w:p>
            <w:r>
              <w:rPr>
                <w:sz w:val="18"/>
              </w:rPr>
              <w:t>[observation from documents]</w:t>
            </w:r>
          </w:p>
        </w:tc>
        <w:tc>
          <w:tcPr>
            <w:tcW w:type="dxa" w:w="3135"/>
          </w:tcPr>
          <w:p>
            <w:r>
              <w:rPr>
                <w:sz w:val="18"/>
              </w:rPr>
              <w:t>Authority question remains open / Noted</w:t>
            </w:r>
          </w:p>
        </w:tc>
      </w:tr>
      <w:tr>
        <w:tc>
          <w:tcPr>
            <w:tcW w:type="dxa" w:w="3135"/>
          </w:tcPr>
          <w:p>
            <w:r>
              <w:rPr>
                <w:sz w:val="18"/>
              </w:rPr>
              <w:t>LOA timing</w:t>
            </w:r>
          </w:p>
        </w:tc>
        <w:tc>
          <w:tcPr>
            <w:tcW w:type="dxa" w:w="3135"/>
          </w:tcPr>
          <w:p>
            <w:r>
              <w:rPr>
                <w:sz w:val="18"/>
              </w:rPr>
              <w:t>[observation from documents]</w:t>
            </w:r>
          </w:p>
        </w:tc>
        <w:tc>
          <w:tcPr>
            <w:tcW w:type="dxa" w:w="3135"/>
          </w:tcPr>
          <w:p>
            <w:r>
              <w:rPr>
                <w:sz w:val="18"/>
              </w:rPr>
              <w:t>Factual inconsistency recorded / None</w:t>
            </w:r>
          </w:p>
        </w:tc>
      </w:tr>
      <w:tr>
        <w:tc>
          <w:tcPr>
            <w:tcW w:type="dxa" w:w="3135"/>
          </w:tcPr>
          <w:p>
            <w:r>
              <w:rPr>
                <w:sz w:val="18"/>
              </w:rPr>
              <w:t>Contract term</w:t>
            </w:r>
          </w:p>
        </w:tc>
        <w:tc>
          <w:tcPr>
            <w:tcW w:type="dxa" w:w="3135"/>
          </w:tcPr>
          <w:p>
            <w:r>
              <w:rPr>
                <w:sz w:val="18"/>
              </w:rPr>
              <w:t>[observation from documents]</w:t>
            </w:r>
          </w:p>
        </w:tc>
        <w:tc>
          <w:tcPr>
            <w:tcW w:type="dxa" w:w="3135"/>
          </w:tcPr>
          <w:p>
            <w:r>
              <w:rPr>
                <w:sz w:val="18"/>
              </w:rPr>
              <w:t>Quantum period may change / Consistent</w:t>
            </w:r>
          </w:p>
        </w:tc>
      </w:tr>
      <w:tr>
        <w:tc>
          <w:tcPr>
            <w:tcW w:type="dxa" w:w="3135"/>
          </w:tcPr>
          <w:p>
            <w:r>
              <w:rPr>
                <w:sz w:val="18"/>
              </w:rPr>
              <w:t>Supplier cost data</w:t>
            </w:r>
          </w:p>
        </w:tc>
        <w:tc>
          <w:tcPr>
            <w:tcW w:type="dxa" w:w="3135"/>
          </w:tcPr>
          <w:p>
            <w:r>
              <w:rPr>
                <w:sz w:val="18"/>
              </w:rPr>
              <w:t>Public wholesale series used / Supplier data used</w:t>
            </w:r>
          </w:p>
        </w:tc>
        <w:tc>
          <w:tcPr>
            <w:tcW w:type="dxa" w:w="3135"/>
          </w:tcPr>
          <w:p>
            <w:r>
              <w:rPr>
                <w:sz w:val="18"/>
              </w:rPr>
              <w:t>Figure can be updated if supplier data supplied</w:t>
            </w:r>
          </w:p>
        </w:tc>
      </w:tr>
    </w:tbl>
    <w:p>
      <w:pPr>
        <w:pStyle w:val="Heading1"/>
      </w:pPr>
      <w:r>
        <w:rPr>
          <w:color w:val="1F4E79"/>
        </w:rPr>
        <w:t>16. Basis and confirmation</w:t>
      </w:r>
    </w:p>
    <w:p>
      <w:pPr>
        <w:spacing w:after="160"/>
      </w:pPr>
      <w:r>
        <w:rPr>
          <w:rFonts w:ascii="Arial" w:hAnsi="Arial"/>
          <w:b w:val="0"/>
          <w:i w:val="0"/>
          <w:sz w:val="22"/>
        </w:rPr>
        <w:t>This valuation is based only on the documents listed in Section 11 and the publicly available wholesale series identified in the text. Where information was missing, that is recorded at Section 10. The figures can be updated if further documents are supplied. This document does not contain legal advice.</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[NAME]</w:t>
      </w:r>
    </w:p>
    <w:p>
      <w:r>
        <w:br w:type="page"/>
      </w:r>
    </w:p>
    <w:p>
      <w:pPr>
        <w:pStyle w:val="Heading1"/>
      </w:pPr>
      <w:r>
        <w:rPr>
          <w:color w:val="1F4E79"/>
        </w:rPr>
        <w:t>Appendices</w:t>
      </w:r>
    </w:p>
    <w:p>
      <w:pPr>
        <w:spacing w:after="160"/>
      </w:pPr>
      <w:r>
        <w:rPr>
          <w:rFonts w:ascii="Arial" w:hAnsi="Arial"/>
          <w:b w:val="0"/>
          <w:i/>
          <w:sz w:val="22"/>
        </w:rPr>
        <w:t>Appendix release rule</w:t>
        <w:br/>
        <w:t>Each appendix is produced only when the source material required for that appendix is available. Nothing is invented to fill an appendix. If the required source material is missing, the appendix is either omitted or issued with a clear note that the information is not yet available.</w:t>
        <w:br/>
        <w:br/>
        <w:t>• Appendix A (Calculation tables) — requires rate, consumption and period figures from the contracts and bills.</w:t>
        <w:br/>
        <w:t>• Appendix B (Wholesale price series) — requires the identified series, source and lookup month.</w:t>
        <w:br/>
        <w:t>• Appendix C (Interest workings) — requires the principal figures, interest periods and rate basis.</w:t>
        <w:br/>
        <w:t>• Appendix D (Authorities cited) — lists the cases already named in the body of the valuation.</w:t>
        <w:br/>
        <w:t>• Appendix E (Glossary) — defines the terms actually used in the valuation.</w:t>
        <w:br/>
        <w:t>• Appendix F (Full Document Schedule) — requires the complete list of documents examined.</w:t>
      </w:r>
    </w:p>
    <w:p/>
    <w:p>
      <w:pPr>
        <w:spacing w:after="160"/>
      </w:pPr>
      <w:r>
        <w:rPr>
          <w:rFonts w:ascii="Arial" w:hAnsi="Arial"/>
          <w:b w:val="0"/>
          <w:i w:val="0"/>
          <w:sz w:val="22"/>
        </w:rPr>
        <w:t>Appendix A — Calculation tables.</w:t>
      </w:r>
    </w:p>
    <w:p>
      <w:pPr>
        <w:spacing w:after="160"/>
      </w:pPr>
      <w:r>
        <w:rPr>
          <w:rFonts w:ascii="Arial" w:hAnsi="Arial"/>
          <w:b w:val="0"/>
          <w:i w:val="0"/>
          <w:sz w:val="22"/>
        </w:rPr>
        <w:t>Appendix B — Wholesale price series used (with source and date of series).</w:t>
      </w:r>
    </w:p>
    <w:p>
      <w:pPr>
        <w:spacing w:after="160"/>
      </w:pPr>
      <w:r>
        <w:rPr>
          <w:rFonts w:ascii="Arial" w:hAnsi="Arial"/>
          <w:b w:val="0"/>
          <w:i w:val="0"/>
          <w:sz w:val="22"/>
        </w:rPr>
        <w:t>Appendix C — Interest workings.</w:t>
      </w:r>
    </w:p>
    <w:p>
      <w:pPr>
        <w:spacing w:after="160"/>
      </w:pPr>
      <w:r>
        <w:rPr>
          <w:rFonts w:ascii="Arial" w:hAnsi="Arial"/>
          <w:b w:val="0"/>
          <w:i w:val="0"/>
          <w:sz w:val="22"/>
        </w:rPr>
        <w:t>Appendix D — Authorities cited (for reference only).</w:t>
      </w:r>
    </w:p>
    <w:p>
      <w:pPr>
        <w:spacing w:after="160"/>
      </w:pPr>
      <w:r>
        <w:rPr>
          <w:rFonts w:ascii="Arial" w:hAnsi="Arial"/>
          <w:b w:val="0"/>
          <w:i w:val="0"/>
          <w:sz w:val="22"/>
        </w:rPr>
        <w:t>Appendix E — Glossary.</w:t>
      </w:r>
    </w:p>
    <w:p>
      <w:pPr>
        <w:spacing w:after="160"/>
      </w:pPr>
      <w:r>
        <w:rPr>
          <w:rFonts w:ascii="Arial" w:hAnsi="Arial"/>
          <w:b w:val="0"/>
          <w:i w:val="0"/>
          <w:sz w:val="22"/>
        </w:rPr>
        <w:t>Appendix F — Full Document Schedule (expanded if required).</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