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6"/>
        </w:rPr>
        <w:t>Business Energy Claim</w:t>
      </w:r>
    </w:p>
    <w:p>
      <w:pPr>
        <w:jc w:val="center"/>
      </w:pPr>
      <w:r>
        <w:rPr>
          <w:sz w:val="28"/>
        </w:rPr>
        <w:t>Quantum Valuation</w:t>
      </w:r>
    </w:p>
    <w:p/>
    <w:tbl>
      <w:tblPr>
        <w:tblStyle w:val="TableGrid"/>
        <w:tblW w:type="auto" w:w="0"/>
        <w:tblLook w:firstColumn="1" w:firstRow="1" w:lastColumn="0" w:lastRow="0" w:noHBand="0" w:noVBand="1" w:val="04A0"/>
      </w:tblPr>
      <w:tblGrid>
        <w:gridCol w:w="4703"/>
        <w:gridCol w:w="4703"/>
      </w:tblGrid>
      <w:tr>
        <w:tc>
          <w:tcPr>
            <w:tcW w:type="dxa" w:w="4703"/>
          </w:tcPr>
          <w:p>
            <w:r>
              <w:rPr>
                <w:rFonts w:ascii="Arial" w:hAnsi="Arial"/>
                <w:sz w:val="20"/>
              </w:rPr>
              <w:t>Case reference</w:t>
            </w:r>
          </w:p>
        </w:tc>
        <w:tc>
          <w:tcPr>
            <w:tcW w:type="dxa" w:w="4703"/>
          </w:tcPr>
          <w:p>
            <w:r>
              <w:rPr>
                <w:rFonts w:ascii="Arial" w:hAnsi="Arial"/>
                <w:sz w:val="20"/>
              </w:rPr>
              <w:t>[REDACTED] Multi-Site</w:t>
            </w:r>
          </w:p>
        </w:tc>
      </w:tr>
      <w:tr>
        <w:tc>
          <w:tcPr>
            <w:tcW w:type="dxa" w:w="4703"/>
          </w:tcPr>
          <w:p>
            <w:r>
              <w:rPr>
                <w:rFonts w:ascii="Arial" w:hAnsi="Arial"/>
                <w:sz w:val="20"/>
              </w:rPr>
              <w:t>Claimant</w:t>
            </w:r>
          </w:p>
        </w:tc>
        <w:tc>
          <w:tcPr>
            <w:tcW w:type="dxa" w:w="4703"/>
          </w:tcPr>
          <w:p>
            <w:r>
              <w:rPr>
                <w:rFonts w:ascii="Arial" w:hAnsi="Arial"/>
                <w:sz w:val="20"/>
              </w:rPr>
              <w:t>[REDACTED]</w:t>
            </w:r>
          </w:p>
        </w:tc>
      </w:tr>
      <w:tr>
        <w:tc>
          <w:tcPr>
            <w:tcW w:type="dxa" w:w="4703"/>
          </w:tcPr>
          <w:p>
            <w:r>
              <w:rPr>
                <w:rFonts w:ascii="Arial" w:hAnsi="Arial"/>
                <w:sz w:val="20"/>
              </w:rPr>
              <w:t>Instructing solicitor</w:t>
            </w:r>
          </w:p>
        </w:tc>
        <w:tc>
          <w:tcPr>
            <w:tcW w:type="dxa" w:w="4703"/>
          </w:tcPr>
          <w:p>
            <w:r>
              <w:rPr>
                <w:rFonts w:ascii="Arial" w:hAnsi="Arial"/>
                <w:sz w:val="20"/>
              </w:rPr>
              <w:t>[FIRM] — [SOLICITOR NAME]</w:t>
            </w:r>
          </w:p>
        </w:tc>
      </w:tr>
      <w:tr>
        <w:tc>
          <w:tcPr>
            <w:tcW w:type="dxa" w:w="4703"/>
          </w:tcPr>
          <w:p>
            <w:r>
              <w:rPr>
                <w:rFonts w:ascii="Arial" w:hAnsi="Arial"/>
                <w:sz w:val="20"/>
              </w:rPr>
              <w:t>Prepared by</w:t>
            </w:r>
          </w:p>
        </w:tc>
        <w:tc>
          <w:tcPr>
            <w:tcW w:type="dxa" w:w="4703"/>
          </w:tcPr>
          <w:p>
            <w:r>
              <w:rPr>
                <w:rFonts w:ascii="Arial" w:hAnsi="Arial"/>
                <w:sz w:val="20"/>
              </w:rPr>
              <w:t>[NAME]</w:t>
            </w:r>
          </w:p>
        </w:tc>
      </w:tr>
      <w:tr>
        <w:tc>
          <w:tcPr>
            <w:tcW w:type="dxa" w:w="4703"/>
          </w:tcPr>
          <w:p>
            <w:r>
              <w:rPr>
                <w:rFonts w:ascii="Arial" w:hAnsi="Arial"/>
                <w:sz w:val="20"/>
              </w:rPr>
              <w:t>Date of instruction</w:t>
            </w:r>
          </w:p>
        </w:tc>
        <w:tc>
          <w:tcPr>
            <w:tcW w:type="dxa" w:w="4703"/>
          </w:tcPr>
          <w:p>
            <w:r>
              <w:rPr>
                <w:rFonts w:ascii="Arial" w:hAnsi="Arial"/>
                <w:sz w:val="20"/>
              </w:rPr>
              <w:t>[DD MONTH YYYY]</w:t>
            </w:r>
          </w:p>
        </w:tc>
      </w:tr>
      <w:tr>
        <w:tc>
          <w:tcPr>
            <w:tcW w:type="dxa" w:w="4703"/>
          </w:tcPr>
          <w:p>
            <w:r>
              <w:rPr>
                <w:rFonts w:ascii="Arial" w:hAnsi="Arial"/>
                <w:sz w:val="20"/>
              </w:rPr>
              <w:t>Date of valuation</w:t>
            </w:r>
          </w:p>
        </w:tc>
        <w:tc>
          <w:tcPr>
            <w:tcW w:type="dxa" w:w="4703"/>
          </w:tcPr>
          <w:p>
            <w:r>
              <w:rPr>
                <w:rFonts w:ascii="Arial" w:hAnsi="Arial"/>
                <w:sz w:val="20"/>
              </w:rPr>
              <w:t>8 February 2026</w:t>
            </w:r>
          </w:p>
        </w:tc>
      </w:tr>
      <w:tr>
        <w:tc>
          <w:tcPr>
            <w:tcW w:type="dxa" w:w="4703"/>
          </w:tcPr>
          <w:p>
            <w:r>
              <w:rPr>
                <w:rFonts w:ascii="Arial" w:hAnsi="Arial"/>
                <w:sz w:val="20"/>
              </w:rPr>
              <w:t>Case status</w:t>
            </w:r>
          </w:p>
        </w:tc>
        <w:tc>
          <w:tcPr>
            <w:tcW w:type="dxa" w:w="4703"/>
          </w:tcPr>
          <w:p>
            <w:r>
              <w:rPr>
                <w:rFonts w:ascii="Arial" w:hAnsi="Arial"/>
                <w:sz w:val="20"/>
              </w:rPr>
              <w:t>Documents examined; further information outstanding</w:t>
            </w:r>
          </w:p>
        </w:tc>
      </w:tr>
    </w:tbl>
    <w:p/>
    <w:p>
      <w:pPr>
        <w:spacing w:after="160"/>
      </w:pPr>
      <w:r>
        <w:rPr>
          <w:rFonts w:ascii="Arial" w:hAnsi="Arial"/>
          <w:b w:val="0"/>
          <w:i/>
          <w:sz w:val="22"/>
        </w:rPr>
        <w:t>About this valuation</w:t>
        <w:br/>
        <w:t>This document sets out a quantum assessment based on the documents examined. Figures are taken only from those documents or from the publicly available wholesale series that are identified. Where a figure depends on information that has not been provided, that is stated. No commission rate or uplift is invented. This document is prepared for the instructing solicitor. It does not contain legal advice.</w:t>
      </w:r>
    </w:p>
    <w:p>
      <w:pPr>
        <w:spacing w:after="160"/>
      </w:pPr>
      <w:r>
        <w:rPr>
          <w:rFonts w:ascii="Arial" w:hAnsi="Arial"/>
          <w:b w:val="0"/>
          <w:i/>
          <w:sz w:val="22"/>
        </w:rPr>
        <w:t>Strictly private and confidential  ·  Prepared for the instructing solicitor  ·  Subject to litigation privilege</w:t>
      </w:r>
    </w:p>
    <w:p>
      <w:r>
        <w:br w:type="page"/>
      </w:r>
    </w:p>
    <w:p>
      <w:pPr>
        <w:pStyle w:val="Heading1"/>
      </w:pPr>
      <w:r>
        <w:rPr>
          <w:color w:val="1F4E79"/>
        </w:rPr>
        <w:t>1. Basis of this valuation</w:t>
      </w:r>
    </w:p>
    <w:p>
      <w:pPr>
        <w:spacing w:after="160"/>
      </w:pPr>
      <w:r>
        <w:rPr>
          <w:rFonts w:ascii="Arial" w:hAnsi="Arial"/>
          <w:b w:val="0"/>
          <w:i w:val="0"/>
          <w:sz w:val="22"/>
        </w:rPr>
        <w:t>This is a quantum valuation prepared for the instructing solicitor. It records the figures that can be drawn from the documents currently available and identifies where further information would affect those figures.</w:t>
      </w:r>
    </w:p>
    <w:p>
      <w:pPr>
        <w:spacing w:after="160"/>
      </w:pPr>
      <w:r>
        <w:rPr>
          <w:rFonts w:ascii="Arial" w:hAnsi="Arial"/>
          <w:b w:val="0"/>
          <w:i w:val="0"/>
          <w:sz w:val="22"/>
        </w:rPr>
        <w:t>The valuation records the quantum of the claimant’s claim against the supplier arising from commission paid by the supplier to the broker across a portfolio of 14 sites. It does not decide liability.</w:t>
      </w:r>
    </w:p>
    <w:p>
      <w:pPr>
        <w:pStyle w:val="Heading1"/>
      </w:pPr>
      <w:r>
        <w:rPr>
          <w:color w:val="1F4E79"/>
        </w:rPr>
        <w:t>2. Case framing — parties, contracts and meters</w:t>
      </w:r>
    </w:p>
    <w:p>
      <w:pPr>
        <w:pStyle w:val="Heading2"/>
      </w:pPr>
      <w:r>
        <w:rPr>
          <w:color w:val="1F4E79"/>
        </w:rPr>
        <w:t>2.1 Parties</w:t>
      </w:r>
    </w:p>
    <w:tbl>
      <w:tblPr>
        <w:tblStyle w:val="TableGrid"/>
        <w:tblW w:type="auto" w:w="0"/>
        <w:tblLook w:firstColumn="1" w:firstRow="1" w:lastColumn="0" w:lastRow="0" w:noHBand="0" w:noVBand="1" w:val="04A0"/>
      </w:tblPr>
      <w:tblGrid>
        <w:gridCol w:w="4703"/>
        <w:gridCol w:w="4703"/>
      </w:tblGrid>
      <w:tr>
        <w:tc>
          <w:tcPr>
            <w:tcW w:type="dxa" w:w="4703"/>
          </w:tcPr>
          <w:p>
            <w:r>
              <w:t>Claimant</w:t>
            </w:r>
          </w:p>
        </w:tc>
        <w:tc>
          <w:tcPr>
            <w:tcW w:type="dxa" w:w="4703"/>
          </w:tcPr>
          <w:p>
            <w:r>
              <w:t>[REDACTED] (company renamed on 16 April 2021)</w:t>
            </w:r>
          </w:p>
        </w:tc>
      </w:tr>
      <w:tr>
        <w:tc>
          <w:tcPr>
            <w:tcW w:type="dxa" w:w="4703"/>
          </w:tcPr>
          <w:p>
            <w:r>
              <w:t>Broker</w:t>
            </w:r>
          </w:p>
        </w:tc>
        <w:tc>
          <w:tcPr>
            <w:tcW w:type="dxa" w:w="4703"/>
          </w:tcPr>
          <w:p>
            <w:r>
              <w:t>[REDACTED]</w:t>
            </w:r>
          </w:p>
        </w:tc>
      </w:tr>
      <w:tr>
        <w:tc>
          <w:tcPr>
            <w:tcW w:type="dxa" w:w="4703"/>
          </w:tcPr>
          <w:p>
            <w:r>
              <w:t>Supplier</w:t>
            </w:r>
          </w:p>
        </w:tc>
        <w:tc>
          <w:tcPr>
            <w:tcW w:type="dxa" w:w="4703"/>
          </w:tcPr>
          <w:p>
            <w:r>
              <w:t>[REDACTED]</w:t>
            </w:r>
          </w:p>
        </w:tc>
      </w:tr>
    </w:tbl>
    <w:p>
      <w:pPr>
        <w:pStyle w:val="Heading2"/>
      </w:pPr>
      <w:r>
        <w:rPr>
          <w:color w:val="1F4E79"/>
        </w:rPr>
        <w:t>2.2 Contracts</w:t>
      </w:r>
    </w:p>
    <w:tbl>
      <w:tblPr>
        <w:tblStyle w:val="TableGrid"/>
        <w:tblW w:type="auto" w:w="0"/>
        <w:tblLook w:firstColumn="1" w:firstRow="1" w:lastColumn="0" w:lastRow="0" w:noHBand="0" w:noVBand="1" w:val="04A0"/>
      </w:tblPr>
      <w:tblGrid>
        <w:gridCol w:w="4703"/>
        <w:gridCol w:w="4703"/>
      </w:tblGrid>
      <w:tr>
        <w:tc>
          <w:tcPr>
            <w:tcW w:type="dxa" w:w="4703"/>
          </w:tcPr>
          <w:p>
            <w:r>
              <w:t>Portfolio</w:t>
            </w:r>
          </w:p>
        </w:tc>
        <w:tc>
          <w:tcPr>
            <w:tcW w:type="dxa" w:w="4703"/>
          </w:tcPr>
          <w:p>
            <w:r>
              <w:t>14 locations, three rate structures</w:t>
            </w:r>
          </w:p>
        </w:tc>
      </w:tr>
      <w:tr>
        <w:tc>
          <w:tcPr>
            <w:tcW w:type="dxa" w:w="4703"/>
          </w:tcPr>
          <w:p>
            <w:r>
              <w:t>Contract term stated on acceptance forms</w:t>
            </w:r>
          </w:p>
        </w:tc>
        <w:tc>
          <w:tcPr>
            <w:tcW w:type="dxa" w:w="4703"/>
          </w:tcPr>
          <w:p>
            <w:r>
              <w:t>2 years</w:t>
            </w:r>
          </w:p>
        </w:tc>
      </w:tr>
      <w:tr>
        <w:tc>
          <w:tcPr>
            <w:tcW w:type="dxa" w:w="4703"/>
          </w:tcPr>
          <w:p>
            <w:r>
              <w:t>Contract start dates</w:t>
            </w:r>
          </w:p>
        </w:tc>
        <w:tc>
          <w:tcPr>
            <w:tcW w:type="dxa" w:w="4703"/>
          </w:tcPr>
          <w:p>
            <w:r>
              <w:t>Between 1 July 2019 and 2 November 2019</w:t>
            </w:r>
          </w:p>
        </w:tc>
      </w:tr>
      <w:tr>
        <w:tc>
          <w:tcPr>
            <w:tcW w:type="dxa" w:w="4703"/>
          </w:tcPr>
          <w:p>
            <w:r>
              <w:t>One welcome letter records</w:t>
            </w:r>
          </w:p>
        </w:tc>
        <w:tc>
          <w:tcPr>
            <w:tcW w:type="dxa" w:w="4703"/>
          </w:tcPr>
          <w:p>
            <w:r>
              <w:t>27 months (1 July 2019 to 30 September 2021)</w:t>
            </w:r>
          </w:p>
        </w:tc>
      </w:tr>
    </w:tbl>
    <w:p>
      <w:pPr>
        <w:pStyle w:val="Heading2"/>
      </w:pPr>
      <w:r>
        <w:rPr>
          <w:color w:val="1F4E79"/>
        </w:rPr>
        <w:t>2.3 Rate structures and consumption (taken from the documents)</w:t>
      </w:r>
    </w:p>
    <w:p>
      <w:pPr>
        <w:spacing w:after="160"/>
      </w:pPr>
      <w:r>
        <w:rPr>
          <w:rFonts w:ascii="Arial" w:hAnsi="Arial"/>
          <w:b w:val="0"/>
          <w:i w:val="0"/>
          <w:sz w:val="22"/>
        </w:rPr>
        <w:t>Group 1 — Single Rate Electricity (8 sites): rate 14.760 p/kWh; combined annual consumption 625,585 kWh.</w:t>
      </w:r>
    </w:p>
    <w:p>
      <w:pPr>
        <w:spacing w:after="160"/>
      </w:pPr>
      <w:r>
        <w:rPr>
          <w:rFonts w:ascii="Arial" w:hAnsi="Arial"/>
          <w:b w:val="0"/>
          <w:i w:val="0"/>
          <w:sz w:val="22"/>
        </w:rPr>
        <w:t>Group 2 — Day/Night Electricity (3 sites): Day 15.320 p/kWh, Night 10.990 p/kWh; weighted 14.454 p/kWh; combined annual consumption 153,511 kWh.</w:t>
      </w:r>
    </w:p>
    <w:p>
      <w:pPr>
        <w:spacing w:after="160"/>
      </w:pPr>
      <w:r>
        <w:rPr>
          <w:rFonts w:ascii="Arial" w:hAnsi="Arial"/>
          <w:b w:val="0"/>
          <w:i w:val="0"/>
          <w:sz w:val="22"/>
        </w:rPr>
        <w:t>Group 3 — Multi-Rate Electricity (3 sites): Day 10.82, Weekday 16.06, Evening/Weekend 12.62 p/kWh + standing charge 50.71 p/day; estimated weighted rate ~13.50 p/kWh (actual register split not in the documents examined); combined annual consumption 259,376 kWh.</w:t>
      </w:r>
    </w:p>
    <w:p>
      <w:pPr>
        <w:spacing w:after="160"/>
      </w:pPr>
      <w:r>
        <w:rPr>
          <w:rFonts w:ascii="Arial" w:hAnsi="Arial"/>
          <w:b w:val="0"/>
          <w:i/>
          <w:sz w:val="22"/>
        </w:rPr>
        <w:t>Disclosure position on the documents examined</w:t>
        <w:br/>
        <w:t>No document among those examined states the amount of commission paid by the supplier to the broker, nor states that commission would be paid. This is recorded because it affects which measure of quantum is available.</w:t>
      </w:r>
    </w:p>
    <w:p>
      <w:pPr>
        <w:pStyle w:val="Heading1"/>
      </w:pPr>
      <w:r>
        <w:rPr>
          <w:color w:val="1F4E79"/>
        </w:rPr>
        <w:t>3. Legal framework used for the figures</w:t>
      </w:r>
    </w:p>
    <w:p>
      <w:pPr>
        <w:spacing w:after="160"/>
      </w:pPr>
      <w:r>
        <w:rPr>
          <w:rFonts w:ascii="Arial" w:hAnsi="Arial"/>
          <w:b w:val="0"/>
          <w:i w:val="0"/>
          <w:sz w:val="22"/>
        </w:rPr>
        <w:t>The calculation follows the measure set out in Wood v Commercial First Business Ltd [2021] EWCA Civ 471. Reference is also made to Bristol &amp; West Building Society v Mothew [1998] Ch 1, Hopcraft / Johnson / Wrench [2025] UKSC 33, and Expert Tooling v Engie [2025] EWCA Civ 292 as the framework used to organise the figures. These authorities are cited for reference only. This document does not contain legal advice.</w:t>
      </w:r>
    </w:p>
    <w:p>
      <w:pPr>
        <w:pStyle w:val="Heading1"/>
      </w:pPr>
      <w:r>
        <w:rPr>
          <w:color w:val="1F4E79"/>
        </w:rPr>
        <w:t>4. The commission figure</w:t>
      </w:r>
    </w:p>
    <w:p>
      <w:pPr>
        <w:spacing w:after="160"/>
      </w:pPr>
      <w:r>
        <w:rPr>
          <w:rFonts w:ascii="Arial" w:hAnsi="Arial"/>
          <w:b w:val="0"/>
          <w:i w:val="0"/>
          <w:sz w:val="22"/>
        </w:rPr>
        <w:t>None of the documents examined states the amount of commission paid by the supplier to the broker. The commission amount is therefore left blank. No percentage or pence-per-kWh figure has been inserted.</w:t>
      </w:r>
    </w:p>
    <w:p>
      <w:pPr>
        <w:pStyle w:val="Heading1"/>
      </w:pPr>
      <w:r>
        <w:rPr>
          <w:color w:val="1F4E79"/>
        </w:rPr>
        <w:t>5. Primary quantum — rescission measure</w:t>
      </w:r>
    </w:p>
    <w:p>
      <w:pPr>
        <w:spacing w:after="160"/>
      </w:pPr>
      <w:r>
        <w:rPr>
          <w:rFonts w:ascii="Arial" w:hAnsi="Arial"/>
          <w:b w:val="0"/>
          <w:i w:val="0"/>
          <w:sz w:val="22"/>
        </w:rPr>
        <w:t>Following the measure in Wood, the calculation is (A + B) − (C + D).</w:t>
      </w:r>
    </w:p>
    <w:p>
      <w:pPr>
        <w:spacing w:after="160"/>
      </w:pPr>
      <w:r>
        <w:rPr>
          <w:rFonts w:ascii="Arial" w:hAnsi="Arial"/>
          <w:b w:val="0"/>
          <w:i w:val="0"/>
          <w:sz w:val="22"/>
        </w:rPr>
        <w:t>Wholesale series used (public Electricity ALL-IN rates):</w:t>
        <w:br/>
        <w:t>• July 2018 start sites: 5.50 p/kWh</w:t>
        <w:br/>
        <w:t>• October 2018 start sites: 5.90 p/kWh</w:t>
        <w:br/>
        <w:t>• November 2018 start sites: 5.85 p/kWh</w:t>
        <w:br/>
        <w:t>These series are identified so they can be checked or replaced if the supplier provides its own cost data.</w:t>
      </w:r>
    </w:p>
    <w:p>
      <w:pPr>
        <w:spacing w:after="160"/>
      </w:pPr>
      <w:r>
        <w:rPr>
          <w:rFonts w:ascii="Arial" w:hAnsi="Arial"/>
          <w:b w:val="0"/>
          <w:i w:val="0"/>
          <w:sz w:val="22"/>
        </w:rPr>
        <w:t>Group 1 base overcharge: £112,160</w:t>
      </w:r>
    </w:p>
    <w:p>
      <w:pPr>
        <w:spacing w:after="160"/>
      </w:pPr>
      <w:r>
        <w:rPr>
          <w:rFonts w:ascii="Arial" w:hAnsi="Arial"/>
          <w:b w:val="0"/>
          <w:i w:val="0"/>
          <w:sz w:val="22"/>
        </w:rPr>
        <w:t>Group 2 base overcharge: £27,407</w:t>
      </w:r>
    </w:p>
    <w:p>
      <w:pPr>
        <w:spacing w:after="160"/>
      </w:pPr>
      <w:r>
        <w:rPr>
          <w:rFonts w:ascii="Arial" w:hAnsi="Arial"/>
          <w:b w:val="0"/>
          <w:i w:val="0"/>
          <w:sz w:val="22"/>
        </w:rPr>
        <w:t>Group 3 estimated base: approximately £56,409 (actual register data not in the documents examined)</w:t>
      </w:r>
    </w:p>
    <w:p>
      <w:pPr>
        <w:pStyle w:val="Heading1"/>
      </w:pPr>
      <w:r>
        <w:rPr>
          <w:color w:val="1F4E79"/>
        </w:rPr>
        <w:t>6. Fall-back quantum — commission only</w:t>
      </w:r>
    </w:p>
    <w:p>
      <w:pPr>
        <w:spacing w:after="160"/>
      </w:pPr>
      <w:r>
        <w:rPr>
          <w:rFonts w:ascii="Arial" w:hAnsi="Arial"/>
          <w:b w:val="0"/>
          <w:i w:val="0"/>
          <w:sz w:val="22"/>
        </w:rPr>
        <w:t>No commission amount appears in the documents examined. The fall-back figure is therefore left blank.</w:t>
      </w:r>
    </w:p>
    <w:p>
      <w:pPr>
        <w:pStyle w:val="Heading1"/>
      </w:pPr>
      <w:r>
        <w:rPr>
          <w:color w:val="1F4E79"/>
        </w:rPr>
        <w:t>7. Interest</w:t>
      </w:r>
    </w:p>
    <w:p>
      <w:pPr>
        <w:spacing w:after="160"/>
      </w:pPr>
      <w:r>
        <w:rPr>
          <w:rFonts w:ascii="Arial" w:hAnsi="Arial"/>
          <w:b w:val="0"/>
          <w:i w:val="0"/>
          <w:sz w:val="22"/>
        </w:rPr>
        <w:t>Interest has been calculated for each group during the contract period and from contract end to 8 February 2026.</w:t>
      </w:r>
    </w:p>
    <w:p>
      <w:pPr>
        <w:spacing w:after="160"/>
      </w:pPr>
      <w:r>
        <w:rPr>
          <w:rFonts w:ascii="Arial" w:hAnsi="Arial"/>
          <w:b w:val="0"/>
          <w:i w:val="0"/>
          <w:sz w:val="22"/>
        </w:rPr>
        <w:t>Group 1 total (including interest): £160,995</w:t>
      </w:r>
    </w:p>
    <w:p>
      <w:pPr>
        <w:spacing w:after="160"/>
      </w:pPr>
      <w:r>
        <w:rPr>
          <w:rFonts w:ascii="Arial" w:hAnsi="Arial"/>
          <w:b w:val="0"/>
          <w:i w:val="0"/>
          <w:sz w:val="22"/>
        </w:rPr>
        <w:t>Group 2 total (including interest): £39,475</w:t>
      </w:r>
    </w:p>
    <w:p>
      <w:pPr>
        <w:spacing w:after="160"/>
      </w:pPr>
      <w:r>
        <w:rPr>
          <w:rFonts w:ascii="Arial" w:hAnsi="Arial"/>
          <w:b w:val="0"/>
          <w:i w:val="0"/>
          <w:sz w:val="22"/>
        </w:rPr>
        <w:t>Group 3 estimated total: approximately £56,409</w:t>
      </w:r>
    </w:p>
    <w:p>
      <w:pPr>
        <w:spacing w:after="160"/>
      </w:pPr>
      <w:r>
        <w:rPr>
          <w:rFonts w:ascii="Arial" w:hAnsi="Arial"/>
          <w:b w:val="0"/>
          <w:i w:val="0"/>
          <w:sz w:val="22"/>
        </w:rPr>
        <w:t>Combined total at 8 February 2026: £256,879</w:t>
      </w:r>
    </w:p>
    <w:p>
      <w:pPr>
        <w:pStyle w:val="Heading1"/>
      </w:pPr>
      <w:r>
        <w:rPr>
          <w:color w:val="1F4E79"/>
        </w:rPr>
        <w:t>8. Quantum summary</w:t>
      </w:r>
    </w:p>
    <w:tbl>
      <w:tblPr>
        <w:tblStyle w:val="TableGrid"/>
        <w:tblW w:type="auto" w:w="0"/>
        <w:tblLook w:firstColumn="1" w:firstRow="1" w:lastColumn="0" w:lastRow="0" w:noHBand="0" w:noVBand="1" w:val="04A0"/>
      </w:tblPr>
      <w:tblGrid>
        <w:gridCol w:w="3135"/>
        <w:gridCol w:w="3135"/>
        <w:gridCol w:w="3135"/>
      </w:tblGrid>
      <w:tr>
        <w:tc>
          <w:tcPr>
            <w:tcW w:type="dxa" w:w="3135"/>
          </w:tcPr>
          <w:p>
            <w:r>
              <w:rPr>
                <w:b/>
                <w:sz w:val="20"/>
              </w:rPr>
              <w:t>Group</w:t>
            </w:r>
          </w:p>
        </w:tc>
        <w:tc>
          <w:tcPr>
            <w:tcW w:type="dxa" w:w="3135"/>
          </w:tcPr>
          <w:p>
            <w:r>
              <w:rPr>
                <w:b/>
                <w:sz w:val="20"/>
              </w:rPr>
              <w:t>Base overcharge £</w:t>
            </w:r>
          </w:p>
        </w:tc>
        <w:tc>
          <w:tcPr>
            <w:tcW w:type="dxa" w:w="3135"/>
          </w:tcPr>
          <w:p>
            <w:r>
              <w:rPr>
                <w:b/>
                <w:sz w:val="20"/>
              </w:rPr>
              <w:t>With interest £</w:t>
            </w:r>
          </w:p>
        </w:tc>
      </w:tr>
      <w:tr>
        <w:tc>
          <w:tcPr>
            <w:tcW w:type="dxa" w:w="3135"/>
          </w:tcPr>
          <w:p>
            <w:r>
              <w:rPr>
                <w:sz w:val="20"/>
              </w:rPr>
              <w:t>Group 1 — Single Rate (8 sites)</w:t>
            </w:r>
          </w:p>
        </w:tc>
        <w:tc>
          <w:tcPr>
            <w:tcW w:type="dxa" w:w="3135"/>
          </w:tcPr>
          <w:p>
            <w:r>
              <w:rPr>
                <w:sz w:val="20"/>
              </w:rPr>
              <w:t>112,160</w:t>
            </w:r>
          </w:p>
        </w:tc>
        <w:tc>
          <w:tcPr>
            <w:tcW w:type="dxa" w:w="3135"/>
          </w:tcPr>
          <w:p>
            <w:r>
              <w:rPr>
                <w:sz w:val="20"/>
              </w:rPr>
              <w:t>160,995</w:t>
            </w:r>
          </w:p>
        </w:tc>
      </w:tr>
      <w:tr>
        <w:tc>
          <w:tcPr>
            <w:tcW w:type="dxa" w:w="3135"/>
          </w:tcPr>
          <w:p>
            <w:r>
              <w:rPr>
                <w:sz w:val="20"/>
              </w:rPr>
              <w:t>Group 2 — Day/Night (3 sites)</w:t>
            </w:r>
          </w:p>
        </w:tc>
        <w:tc>
          <w:tcPr>
            <w:tcW w:type="dxa" w:w="3135"/>
          </w:tcPr>
          <w:p>
            <w:r>
              <w:rPr>
                <w:sz w:val="20"/>
              </w:rPr>
              <w:t>27,407</w:t>
            </w:r>
          </w:p>
        </w:tc>
        <w:tc>
          <w:tcPr>
            <w:tcW w:type="dxa" w:w="3135"/>
          </w:tcPr>
          <w:p>
            <w:r>
              <w:rPr>
                <w:sz w:val="20"/>
              </w:rPr>
              <w:t>39,475</w:t>
            </w:r>
          </w:p>
        </w:tc>
      </w:tr>
      <w:tr>
        <w:tc>
          <w:tcPr>
            <w:tcW w:type="dxa" w:w="3135"/>
          </w:tcPr>
          <w:p>
            <w:r>
              <w:rPr>
                <w:sz w:val="20"/>
              </w:rPr>
              <w:t>Group 3 — Multi-Rate (3 sites)</w:t>
            </w:r>
          </w:p>
        </w:tc>
        <w:tc>
          <w:tcPr>
            <w:tcW w:type="dxa" w:w="3135"/>
          </w:tcPr>
          <w:p>
            <w:r>
              <w:rPr>
                <w:sz w:val="20"/>
              </w:rPr>
              <w:t>~56,409 (est.)</w:t>
            </w:r>
          </w:p>
        </w:tc>
        <w:tc>
          <w:tcPr>
            <w:tcW w:type="dxa" w:w="3135"/>
          </w:tcPr>
          <w:p>
            <w:r>
              <w:rPr>
                <w:sz w:val="20"/>
              </w:rPr>
              <w:t>~56,409 (est.)</w:t>
            </w:r>
          </w:p>
        </w:tc>
      </w:tr>
      <w:tr>
        <w:tc>
          <w:tcPr>
            <w:tcW w:type="dxa" w:w="3135"/>
          </w:tcPr>
          <w:p>
            <w:r>
              <w:rPr>
                <w:sz w:val="20"/>
              </w:rPr>
              <w:t>Portfolio total</w:t>
            </w:r>
          </w:p>
        </w:tc>
        <w:tc>
          <w:tcPr>
            <w:tcW w:type="dxa" w:w="3135"/>
          </w:tcPr>
          <w:p>
            <w:r>
              <w:rPr>
                <w:sz w:val="20"/>
              </w:rPr>
              <w:t>—</w:t>
            </w:r>
          </w:p>
        </w:tc>
        <w:tc>
          <w:tcPr>
            <w:tcW w:type="dxa" w:w="3135"/>
          </w:tcPr>
          <w:p>
            <w:r>
              <w:rPr>
                <w:sz w:val="20"/>
              </w:rPr>
              <w:t>256,879</w:t>
            </w:r>
          </w:p>
        </w:tc>
      </w:tr>
      <w:tr>
        <w:tc>
          <w:tcPr>
            <w:tcW w:type="dxa" w:w="3135"/>
          </w:tcPr>
          <w:p>
            <w:r>
              <w:rPr>
                <w:sz w:val="20"/>
              </w:rPr>
              <w:t>Commission only</w:t>
            </w:r>
          </w:p>
        </w:tc>
        <w:tc>
          <w:tcPr>
            <w:tcW w:type="dxa" w:w="3135"/>
          </w:tcPr>
          <w:p>
            <w:r>
              <w:rPr>
                <w:sz w:val="20"/>
              </w:rPr>
              <w:t>Not stated in documents</w:t>
            </w:r>
          </w:p>
        </w:tc>
        <w:tc>
          <w:tcPr>
            <w:tcW w:type="dxa" w:w="3135"/>
          </w:tcPr>
          <w:p>
            <w:r>
              <w:rPr>
                <w:sz w:val="20"/>
              </w:rPr>
              <w:t>—</w:t>
            </w:r>
          </w:p>
        </w:tc>
      </w:tr>
    </w:tbl>
    <w:p/>
    <w:p>
      <w:pPr>
        <w:spacing w:after="160"/>
      </w:pPr>
      <w:r>
        <w:rPr>
          <w:rFonts w:ascii="Arial" w:hAnsi="Arial"/>
          <w:b w:val="0"/>
          <w:i w:val="0"/>
          <w:sz w:val="22"/>
        </w:rPr>
        <w:t>The total of £256,879 is the figure obtained from the documents and series currently available. Group 3 remains subject to change if actual multi-register consumption data is obtained.</w:t>
      </w:r>
    </w:p>
    <w:p>
      <w:pPr>
        <w:pStyle w:val="Heading1"/>
      </w:pPr>
      <w:r>
        <w:rPr>
          <w:color w:val="1F4E79"/>
        </w:rPr>
        <w:t>9. What moves the figures</w:t>
      </w:r>
    </w:p>
    <w:p>
      <w:pPr>
        <w:spacing w:after="160"/>
      </w:pPr>
      <w:r>
        <w:rPr>
          <w:rFonts w:ascii="Arial" w:hAnsi="Arial"/>
          <w:b w:val="0"/>
          <w:i w:val="0"/>
          <w:sz w:val="22"/>
        </w:rPr>
        <w:t>The main variables that would change the total are:</w:t>
      </w:r>
    </w:p>
    <w:p>
      <w:pPr>
        <w:spacing w:after="160"/>
      </w:pPr>
      <w:r>
        <w:rPr>
          <w:rFonts w:ascii="Arial" w:hAnsi="Arial"/>
          <w:b w:val="0"/>
          <w:i w:val="0"/>
          <w:sz w:val="22"/>
        </w:rPr>
        <w:t>• Actual consumption per register on the three multi-rate sites.</w:t>
      </w:r>
    </w:p>
    <w:p>
      <w:pPr>
        <w:spacing w:after="160"/>
      </w:pPr>
      <w:r>
        <w:rPr>
          <w:rFonts w:ascii="Arial" w:hAnsi="Arial"/>
          <w:b w:val="0"/>
          <w:i w:val="0"/>
          <w:sz w:val="22"/>
        </w:rPr>
        <w:t>• Any different wholesale or cost series supplied by the supplier.</w:t>
      </w:r>
    </w:p>
    <w:p>
      <w:pPr>
        <w:spacing w:after="160"/>
      </w:pPr>
      <w:r>
        <w:rPr>
          <w:rFonts w:ascii="Arial" w:hAnsi="Arial"/>
          <w:b w:val="0"/>
          <w:i w:val="0"/>
          <w:sz w:val="22"/>
        </w:rPr>
        <w:t>• The length of the contracts (acceptance forms state 2 years; one welcome letter records 27 months).</w:t>
      </w:r>
    </w:p>
    <w:p>
      <w:pPr>
        <w:spacing w:after="160"/>
      </w:pPr>
      <w:r>
        <w:rPr>
          <w:rFonts w:ascii="Arial" w:hAnsi="Arial"/>
          <w:b w:val="0"/>
          <w:i w:val="0"/>
          <w:sz w:val="22"/>
        </w:rPr>
        <w:t>• The commission amount, if it is later stated in a document.</w:t>
      </w:r>
    </w:p>
    <w:p>
      <w:pPr>
        <w:pStyle w:val="Heading1"/>
      </w:pPr>
      <w:r>
        <w:rPr>
          <w:color w:val="1F4E79"/>
        </w:rPr>
        <w:t>10. Assumptions and missing information</w:t>
      </w:r>
    </w:p>
    <w:p>
      <w:pPr>
        <w:spacing w:after="160"/>
      </w:pPr>
      <w:r>
        <w:rPr>
          <w:rFonts w:ascii="Arial" w:hAnsi="Arial"/>
          <w:b w:val="0"/>
          <w:i w:val="0"/>
          <w:sz w:val="22"/>
        </w:rPr>
        <w:t>• Commission amount — not stated in any document examined.</w:t>
      </w:r>
    </w:p>
    <w:p>
      <w:pPr>
        <w:spacing w:after="160"/>
      </w:pPr>
      <w:r>
        <w:rPr>
          <w:rFonts w:ascii="Arial" w:hAnsi="Arial"/>
          <w:b w:val="0"/>
          <w:i w:val="0"/>
          <w:sz w:val="22"/>
        </w:rPr>
        <w:t>• Multi-rate register splits — not in the documents examined; an estimated weighted rate has been used for Group 3.</w:t>
      </w:r>
    </w:p>
    <w:p>
      <w:pPr>
        <w:spacing w:after="160"/>
      </w:pPr>
      <w:r>
        <w:rPr>
          <w:rFonts w:ascii="Arial" w:hAnsi="Arial"/>
          <w:b w:val="0"/>
          <w:i w:val="0"/>
          <w:sz w:val="22"/>
        </w:rPr>
        <w:t>• Contract length — taken as 24 months from the acceptance forms; one welcome letter records 27 months.</w:t>
      </w:r>
    </w:p>
    <w:p>
      <w:pPr>
        <w:spacing w:after="160"/>
      </w:pPr>
      <w:r>
        <w:rPr>
          <w:rFonts w:ascii="Arial" w:hAnsi="Arial"/>
          <w:b w:val="0"/>
          <w:i w:val="0"/>
          <w:sz w:val="22"/>
        </w:rPr>
        <w:t>• Full bill-by-bill data for every site — not examined.</w:t>
      </w:r>
    </w:p>
    <w:p>
      <w:pPr>
        <w:pStyle w:val="Heading1"/>
      </w:pPr>
      <w:r>
        <w:rPr>
          <w:color w:val="1F4E79"/>
        </w:rPr>
        <w:t>11. Document Schedule and Commentary</w:t>
      </w:r>
    </w:p>
    <w:p>
      <w:pPr>
        <w:spacing w:after="160"/>
      </w:pPr>
      <w:r>
        <w:rPr>
          <w:rFonts w:ascii="Arial" w:hAnsi="Arial"/>
          <w:b w:val="0"/>
          <w:i w:val="0"/>
          <w:sz w:val="22"/>
        </w:rPr>
        <w:t>The table below lists the principal documents examined. Statements are taken from the face of the documents. No opinion is expressed on the legal effect of any inconsistency.</w:t>
      </w:r>
    </w:p>
    <w:p>
      <w:pPr>
        <w:spacing w:after="160"/>
      </w:pPr>
      <w:r>
        <w:rPr>
          <w:rFonts w:ascii="Arial" w:hAnsi="Arial"/>
          <w:b/>
          <w:i w:val="0"/>
          <w:sz w:val="22"/>
        </w:rPr>
        <w:t>Document 1 — Contract Acceptance Forms</w:t>
      </w:r>
    </w:p>
    <w:p>
      <w:pPr>
        <w:spacing w:after="160"/>
      </w:pPr>
      <w:r>
        <w:rPr>
          <w:rFonts w:ascii="Arial" w:hAnsi="Arial"/>
          <w:b w:val="0"/>
          <w:i w:val="0"/>
          <w:sz w:val="22"/>
        </w:rPr>
        <w:t>Date: 5 June 2019 (on the face of the forms).</w:t>
      </w:r>
    </w:p>
    <w:p>
      <w:pPr>
        <w:spacing w:after="160"/>
      </w:pPr>
      <w:r>
        <w:rPr>
          <w:rFonts w:ascii="Arial" w:hAnsi="Arial"/>
          <w:b w:val="0"/>
          <w:i w:val="0"/>
          <w:sz w:val="22"/>
        </w:rPr>
        <w:t>What the document is: Acceptance forms for the multi-site electricity supply.</w:t>
      </w:r>
    </w:p>
    <w:p>
      <w:pPr>
        <w:spacing w:after="160"/>
      </w:pPr>
      <w:r>
        <w:rPr>
          <w:rFonts w:ascii="Arial" w:hAnsi="Arial"/>
          <w:b w:val="0"/>
          <w:i w:val="0"/>
          <w:sz w:val="22"/>
        </w:rPr>
        <w:t>How it was used: Source of the stated rates, start dates, term (2 years), and EAC figures used in the quantum calculation.</w:t>
      </w:r>
    </w:p>
    <w:p>
      <w:pPr>
        <w:spacing w:after="160"/>
      </w:pPr>
      <w:r>
        <w:rPr>
          <w:rFonts w:ascii="Arial" w:hAnsi="Arial"/>
          <w:b w:val="0"/>
          <w:i w:val="0"/>
          <w:sz w:val="22"/>
        </w:rPr>
        <w:t>Observations from the face of the document: The forms record a 2-year term. Signatory name appears on the forms.</w:t>
      </w:r>
    </w:p>
    <w:p>
      <w:pPr>
        <w:spacing w:after="160"/>
      </w:pPr>
      <w:r>
        <w:rPr>
          <w:rFonts w:ascii="Arial" w:hAnsi="Arial"/>
          <w:b w:val="0"/>
          <w:i w:val="0"/>
          <w:sz w:val="22"/>
        </w:rPr>
        <w:t>Other possible relevance: The signatory name can be compared with Companies House records. The rates and EACs are the starting point for any later bill comparison.</w:t>
      </w:r>
    </w:p>
    <w:p>
      <w:pPr>
        <w:spacing w:after="160"/>
      </w:pPr>
      <w:r>
        <w:rPr>
          <w:rFonts w:ascii="Arial" w:hAnsi="Arial"/>
          <w:b/>
          <w:i w:val="0"/>
          <w:sz w:val="22"/>
        </w:rPr>
        <w:t>Document 2 — Welcome Letter</w:t>
      </w:r>
    </w:p>
    <w:p>
      <w:pPr>
        <w:spacing w:after="160"/>
      </w:pPr>
      <w:r>
        <w:rPr>
          <w:rFonts w:ascii="Arial" w:hAnsi="Arial"/>
          <w:b w:val="0"/>
          <w:i w:val="0"/>
          <w:sz w:val="22"/>
        </w:rPr>
        <w:t>Date: 3 July 2019 (on the face of the letter).</w:t>
      </w:r>
    </w:p>
    <w:p>
      <w:pPr>
        <w:spacing w:after="160"/>
      </w:pPr>
      <w:r>
        <w:rPr>
          <w:rFonts w:ascii="Arial" w:hAnsi="Arial"/>
          <w:b w:val="0"/>
          <w:i w:val="0"/>
          <w:sz w:val="22"/>
        </w:rPr>
        <w:t>What the document is: Welcome letter issued after the acceptance forms.</w:t>
      </w:r>
    </w:p>
    <w:p>
      <w:pPr>
        <w:spacing w:after="160"/>
      </w:pPr>
      <w:r>
        <w:rPr>
          <w:rFonts w:ascii="Arial" w:hAnsi="Arial"/>
          <w:b w:val="0"/>
          <w:i w:val="0"/>
          <w:sz w:val="22"/>
        </w:rPr>
        <w:t>How it was used: Compared with the acceptance forms for rates and term.</w:t>
      </w:r>
    </w:p>
    <w:p>
      <w:pPr>
        <w:spacing w:after="160"/>
      </w:pPr>
      <w:r>
        <w:rPr>
          <w:rFonts w:ascii="Arial" w:hAnsi="Arial"/>
          <w:b w:val="0"/>
          <w:i w:val="0"/>
          <w:sz w:val="22"/>
        </w:rPr>
        <w:t>Observations from the face of the document: The letter records Day 15.300 p/kWh and Night 11.190 p/kWh for one site. The acceptance form for the same site records Day 15.320 p/kWh and Night 10.990 p/kWh. The letter also records a 27-month period (1 July 2019 to 30 September 2021).</w:t>
      </w:r>
    </w:p>
    <w:p>
      <w:pPr>
        <w:spacing w:after="160"/>
      </w:pPr>
      <w:r>
        <w:rPr>
          <w:rFonts w:ascii="Arial" w:hAnsi="Arial"/>
          <w:b w:val="0"/>
          <w:i w:val="0"/>
          <w:sz w:val="22"/>
        </w:rPr>
        <w:t>Other possible relevance: The rate difference and the term difference are factual inconsistencies that can be explored further if required.</w:t>
      </w:r>
    </w:p>
    <w:p>
      <w:pPr>
        <w:spacing w:after="160"/>
      </w:pPr>
      <w:r>
        <w:rPr>
          <w:rFonts w:ascii="Arial" w:hAnsi="Arial"/>
          <w:b/>
          <w:i w:val="0"/>
          <w:sz w:val="22"/>
        </w:rPr>
        <w:t>Document 3 — Letter of Authority (LOA)</w:t>
      </w:r>
    </w:p>
    <w:p>
      <w:pPr>
        <w:spacing w:after="160"/>
      </w:pPr>
      <w:r>
        <w:rPr>
          <w:rFonts w:ascii="Arial" w:hAnsi="Arial"/>
          <w:b w:val="0"/>
          <w:i w:val="0"/>
          <w:sz w:val="22"/>
        </w:rPr>
        <w:t>Date: 11 October 2019 (on the face of the document).</w:t>
      </w:r>
    </w:p>
    <w:p>
      <w:pPr>
        <w:spacing w:after="160"/>
      </w:pPr>
      <w:r>
        <w:rPr>
          <w:rFonts w:ascii="Arial" w:hAnsi="Arial"/>
          <w:b w:val="0"/>
          <w:i w:val="0"/>
          <w:sz w:val="22"/>
        </w:rPr>
        <w:t>What the document is: Letter of Authority given by the claimant.</w:t>
      </w:r>
    </w:p>
    <w:p>
      <w:pPr>
        <w:spacing w:after="160"/>
      </w:pPr>
      <w:r>
        <w:rPr>
          <w:rFonts w:ascii="Arial" w:hAnsi="Arial"/>
          <w:b w:val="0"/>
          <w:i w:val="0"/>
          <w:sz w:val="22"/>
        </w:rPr>
        <w:t>How it was used: Examined for timing relative to the contracts and for the identity of the signatory.</w:t>
      </w:r>
    </w:p>
    <w:p>
      <w:pPr>
        <w:spacing w:after="160"/>
      </w:pPr>
      <w:r>
        <w:rPr>
          <w:rFonts w:ascii="Arial" w:hAnsi="Arial"/>
          <w:b w:val="0"/>
          <w:i w:val="0"/>
          <w:sz w:val="22"/>
        </w:rPr>
        <w:t>Observations from the face of the document: The LOA is dated 11 October 2019. The contract acceptance forms are dated 5 June 2019. The LOA therefore post-dates the acceptance forms by approximately four months. The LOA contains a self-certification that the signatory is ‘a director, partner or owner’.</w:t>
      </w:r>
    </w:p>
    <w:p>
      <w:pPr>
        <w:spacing w:after="160"/>
      </w:pPr>
      <w:r>
        <w:rPr>
          <w:rFonts w:ascii="Arial" w:hAnsi="Arial"/>
          <w:b w:val="0"/>
          <w:i w:val="0"/>
          <w:sz w:val="22"/>
        </w:rPr>
        <w:t>Other possible relevance: The name of the LOA signatory can be compared with the current and historic directors shown on Companies House. The timing of the LOA relative to the contracts is a factual matter that can be noted.</w:t>
      </w:r>
    </w:p>
    <w:p>
      <w:pPr>
        <w:spacing w:after="160"/>
      </w:pPr>
      <w:r>
        <w:rPr>
          <w:rFonts w:ascii="Arial" w:hAnsi="Arial"/>
          <w:b/>
          <w:i w:val="0"/>
          <w:sz w:val="22"/>
        </w:rPr>
        <w:t>Document 4 — Companies House records (public)</w:t>
      </w:r>
    </w:p>
    <w:p>
      <w:pPr>
        <w:spacing w:after="160"/>
      </w:pPr>
      <w:r>
        <w:rPr>
          <w:rFonts w:ascii="Arial" w:hAnsi="Arial"/>
          <w:b w:val="0"/>
          <w:i w:val="0"/>
          <w:sz w:val="22"/>
        </w:rPr>
        <w:t>Date examined: 8 February 2026.</w:t>
      </w:r>
    </w:p>
    <w:p>
      <w:pPr>
        <w:spacing w:after="160"/>
      </w:pPr>
      <w:r>
        <w:rPr>
          <w:rFonts w:ascii="Arial" w:hAnsi="Arial"/>
          <w:b w:val="0"/>
          <w:i w:val="0"/>
          <w:sz w:val="22"/>
        </w:rPr>
        <w:t>What the document is: Public register extract for the claimant company.</w:t>
      </w:r>
    </w:p>
    <w:p>
      <w:pPr>
        <w:spacing w:after="160"/>
      </w:pPr>
      <w:r>
        <w:rPr>
          <w:rFonts w:ascii="Arial" w:hAnsi="Arial"/>
          <w:b w:val="0"/>
          <w:i w:val="0"/>
          <w:sz w:val="22"/>
        </w:rPr>
        <w:t>How it was used: Compared with the names on the LOA and the contract acceptance forms.</w:t>
      </w:r>
    </w:p>
    <w:p>
      <w:pPr>
        <w:spacing w:after="160"/>
      </w:pPr>
      <w:r>
        <w:rPr>
          <w:rFonts w:ascii="Arial" w:hAnsi="Arial"/>
          <w:b w:val="0"/>
          <w:i w:val="0"/>
          <w:sz w:val="22"/>
        </w:rPr>
        <w:t>Observations from the face of the records: Neither the LOA signatory nor the contract signatory appears as a current or former director of the company. The company was renamed on 16 April 2021.</w:t>
      </w:r>
    </w:p>
    <w:p>
      <w:pPr>
        <w:spacing w:after="160"/>
      </w:pPr>
      <w:r>
        <w:rPr>
          <w:rFonts w:ascii="Arial" w:hAnsi="Arial"/>
          <w:b w:val="0"/>
          <w:i w:val="0"/>
          <w:sz w:val="22"/>
        </w:rPr>
        <w:t>Other possible relevance: The absence of the signatories from the list of directors is a factual observation that the instructing solicitor may wish to consider when assessing authority.</w:t>
      </w:r>
    </w:p>
    <w:p>
      <w:pPr>
        <w:spacing w:after="160"/>
      </w:pPr>
      <w:r>
        <w:rPr>
          <w:rFonts w:ascii="Arial" w:hAnsi="Arial"/>
          <w:b/>
          <w:i w:val="0"/>
          <w:sz w:val="22"/>
        </w:rPr>
        <w:t>Document 5 — Corrected contract form (EAC changes)</w:t>
      </w:r>
    </w:p>
    <w:p>
      <w:pPr>
        <w:spacing w:after="160"/>
      </w:pPr>
      <w:r>
        <w:rPr>
          <w:rFonts w:ascii="Arial" w:hAnsi="Arial"/>
          <w:b w:val="0"/>
          <w:i w:val="0"/>
          <w:sz w:val="22"/>
        </w:rPr>
        <w:t>Date: [as shown on the corrected form].</w:t>
      </w:r>
    </w:p>
    <w:p>
      <w:pPr>
        <w:spacing w:after="160"/>
      </w:pPr>
      <w:r>
        <w:rPr>
          <w:rFonts w:ascii="Arial" w:hAnsi="Arial"/>
          <w:b w:val="0"/>
          <w:i w:val="0"/>
          <w:sz w:val="22"/>
        </w:rPr>
        <w:t>What the document is: A later version of the contract form showing revised EAC figures.</w:t>
      </w:r>
    </w:p>
    <w:p>
      <w:pPr>
        <w:spacing w:after="160"/>
      </w:pPr>
      <w:r>
        <w:rPr>
          <w:rFonts w:ascii="Arial" w:hAnsi="Arial"/>
          <w:b w:val="0"/>
          <w:i w:val="0"/>
          <w:sz w:val="22"/>
        </w:rPr>
        <w:t>How it was used: The revised EACs were noted; one site was reduced from 51,000 kWh to 1,000 kWh.</w:t>
      </w:r>
    </w:p>
    <w:p>
      <w:pPr>
        <w:spacing w:after="160"/>
      </w:pPr>
      <w:r>
        <w:rPr>
          <w:rFonts w:ascii="Arial" w:hAnsi="Arial"/>
          <w:b w:val="0"/>
          <w:i w:val="0"/>
          <w:sz w:val="22"/>
        </w:rPr>
        <w:t>Observations from the face of the document: A material reduction in EAC for at least one site appears on the corrected form.</w:t>
      </w:r>
    </w:p>
    <w:p>
      <w:pPr>
        <w:spacing w:after="160"/>
      </w:pPr>
      <w:r>
        <w:rPr>
          <w:rFonts w:ascii="Arial" w:hAnsi="Arial"/>
          <w:b w:val="0"/>
          <w:i w:val="0"/>
          <w:sz w:val="22"/>
        </w:rPr>
        <w:t>Other possible relevance: The change in EAC may affect consumption figures used in the quantum if the original figures were used for billing.</w:t>
      </w:r>
    </w:p>
    <w:p>
      <w:pPr>
        <w:spacing w:after="160"/>
      </w:pPr>
      <w:r>
        <w:rPr>
          <w:rFonts w:ascii="Arial" w:hAnsi="Arial"/>
          <w:b/>
          <w:i w:val="0"/>
          <w:sz w:val="22"/>
        </w:rPr>
        <w:t>Document 6 — Multi-rate tariff information</w:t>
      </w:r>
    </w:p>
    <w:p>
      <w:pPr>
        <w:spacing w:after="160"/>
      </w:pPr>
      <w:r>
        <w:rPr>
          <w:rFonts w:ascii="Arial" w:hAnsi="Arial"/>
          <w:b w:val="0"/>
          <w:i w:val="0"/>
          <w:sz w:val="22"/>
        </w:rPr>
        <w:t>What the document is: Rate schedule for the three multi-rate sites.</w:t>
      </w:r>
    </w:p>
    <w:p>
      <w:pPr>
        <w:spacing w:after="160"/>
      </w:pPr>
      <w:r>
        <w:rPr>
          <w:rFonts w:ascii="Arial" w:hAnsi="Arial"/>
          <w:b w:val="0"/>
          <w:i w:val="0"/>
          <w:sz w:val="22"/>
        </w:rPr>
        <w:t>How it was used: The stated rates were recorded. Because consumption per register is not shown, an estimated weighted rate was used for Group 3.</w:t>
      </w:r>
    </w:p>
    <w:p>
      <w:pPr>
        <w:spacing w:after="160"/>
      </w:pPr>
      <w:r>
        <w:rPr>
          <w:rFonts w:ascii="Arial" w:hAnsi="Arial"/>
          <w:b w:val="0"/>
          <w:i w:val="0"/>
          <w:sz w:val="22"/>
        </w:rPr>
        <w:t>Observations from the face of the document: No document among those examined shows the actual split of consumption across the registers.</w:t>
      </w:r>
    </w:p>
    <w:p>
      <w:pPr>
        <w:spacing w:after="160"/>
      </w:pPr>
      <w:r>
        <w:rPr>
          <w:rFonts w:ascii="Arial" w:hAnsi="Arial"/>
          <w:b w:val="0"/>
          <w:i w:val="0"/>
          <w:sz w:val="22"/>
        </w:rPr>
        <w:t>Other possible relevance: Actual register data, if obtained, would allow the Group 3 figure to be recalculated without the estimate.</w:t>
      </w:r>
    </w:p>
    <w:p>
      <w:pPr>
        <w:pStyle w:val="Heading1"/>
      </w:pPr>
      <w:r>
        <w:rPr>
          <w:color w:val="1F4E79"/>
        </w:rPr>
        <w:t>12. Observed issues and possible next steps</w:t>
      </w:r>
    </w:p>
    <w:p>
      <w:pPr>
        <w:spacing w:after="160"/>
      </w:pPr>
      <w:r>
        <w:rPr>
          <w:rFonts w:ascii="Arial" w:hAnsi="Arial"/>
          <w:b w:val="0"/>
          <w:i w:val="0"/>
          <w:sz w:val="22"/>
        </w:rPr>
        <w:t>The points below are factual observations drawn from the documents listed in Section 11. They are set out so the instructing solicitor can consider them. No recommendation is made.</w:t>
      </w:r>
    </w:p>
    <w:p>
      <w:pPr>
        <w:pStyle w:val="Heading2"/>
      </w:pPr>
      <w:r>
        <w:rPr>
          <w:color w:val="1F4E79"/>
        </w:rPr>
        <w:t>12.1 Observed issues (factual)</w:t>
      </w:r>
    </w:p>
    <w:p>
      <w:pPr>
        <w:spacing w:after="160"/>
      </w:pPr>
      <w:r>
        <w:rPr>
          <w:rFonts w:ascii="Arial" w:hAnsi="Arial"/>
          <w:b w:val="0"/>
          <w:i w:val="0"/>
          <w:sz w:val="22"/>
        </w:rPr>
        <w:t>• The LOA is dated 11 October 2019; the contract acceptance forms are dated 5 June 2019.</w:t>
      </w:r>
    </w:p>
    <w:p>
      <w:pPr>
        <w:spacing w:after="160"/>
      </w:pPr>
      <w:r>
        <w:rPr>
          <w:rFonts w:ascii="Arial" w:hAnsi="Arial"/>
          <w:b w:val="0"/>
          <w:i w:val="0"/>
          <w:sz w:val="22"/>
        </w:rPr>
        <w:t>• Neither the LOA signatory nor the contract signatory appears on the Companies House list of directors.</w:t>
      </w:r>
    </w:p>
    <w:p>
      <w:pPr>
        <w:spacing w:after="160"/>
      </w:pPr>
      <w:r>
        <w:rPr>
          <w:rFonts w:ascii="Arial" w:hAnsi="Arial"/>
          <w:b w:val="0"/>
          <w:i w:val="0"/>
          <w:sz w:val="22"/>
        </w:rPr>
        <w:t>• One welcome letter records different day/night rates from the acceptance form for the same site.</w:t>
      </w:r>
    </w:p>
    <w:p>
      <w:pPr>
        <w:spacing w:after="160"/>
      </w:pPr>
      <w:r>
        <w:rPr>
          <w:rFonts w:ascii="Arial" w:hAnsi="Arial"/>
          <w:b w:val="0"/>
          <w:i w:val="0"/>
          <w:sz w:val="22"/>
        </w:rPr>
        <w:t>• One welcome letter records a 27-month term; the acceptance forms record a 2-year term.</w:t>
      </w:r>
    </w:p>
    <w:p>
      <w:pPr>
        <w:spacing w:after="160"/>
      </w:pPr>
      <w:r>
        <w:rPr>
          <w:rFonts w:ascii="Arial" w:hAnsi="Arial"/>
          <w:b w:val="0"/>
          <w:i w:val="0"/>
          <w:sz w:val="22"/>
        </w:rPr>
        <w:t>• No document examined states the amount of commission paid by the supplier to the broker.</w:t>
      </w:r>
    </w:p>
    <w:p>
      <w:pPr>
        <w:spacing w:after="160"/>
      </w:pPr>
      <w:r>
        <w:rPr>
          <w:rFonts w:ascii="Arial" w:hAnsi="Arial"/>
          <w:b w:val="0"/>
          <w:i w:val="0"/>
          <w:sz w:val="22"/>
        </w:rPr>
        <w:t>• Actual consumption per register for the three multi-rate sites is not shown in the documents examined.</w:t>
      </w:r>
    </w:p>
    <w:p>
      <w:pPr>
        <w:pStyle w:val="Heading2"/>
      </w:pPr>
      <w:r>
        <w:rPr>
          <w:color w:val="1F4E79"/>
        </w:rPr>
        <w:t>12.2 Information not yet available</w:t>
      </w:r>
    </w:p>
    <w:p>
      <w:pPr>
        <w:spacing w:after="160"/>
      </w:pPr>
      <w:r>
        <w:rPr>
          <w:rFonts w:ascii="Arial" w:hAnsi="Arial"/>
          <w:b w:val="0"/>
          <w:i w:val="0"/>
          <w:sz w:val="22"/>
        </w:rPr>
        <w:t>• The commission amount.</w:t>
      </w:r>
    </w:p>
    <w:p>
      <w:pPr>
        <w:spacing w:after="160"/>
      </w:pPr>
      <w:r>
        <w:rPr>
          <w:rFonts w:ascii="Arial" w:hAnsi="Arial"/>
          <w:b w:val="0"/>
          <w:i w:val="0"/>
          <w:sz w:val="22"/>
        </w:rPr>
        <w:t>• The supplier’s own cost build-up (if different from the public wholesale series used).</w:t>
      </w:r>
    </w:p>
    <w:p>
      <w:pPr>
        <w:spacing w:after="160"/>
      </w:pPr>
      <w:r>
        <w:rPr>
          <w:rFonts w:ascii="Arial" w:hAnsi="Arial"/>
          <w:b w:val="0"/>
          <w:i w:val="0"/>
          <w:sz w:val="22"/>
        </w:rPr>
        <w:t>• Actual multi-register consumption data for Group 3.</w:t>
      </w:r>
    </w:p>
    <w:p>
      <w:pPr>
        <w:spacing w:after="160"/>
      </w:pPr>
      <w:r>
        <w:rPr>
          <w:rFonts w:ascii="Arial" w:hAnsi="Arial"/>
          <w:b w:val="0"/>
          <w:i w:val="0"/>
          <w:sz w:val="22"/>
        </w:rPr>
        <w:t>• Confirmation of the authority of the persons who signed the LOA and the acceptance forms.</w:t>
      </w:r>
    </w:p>
    <w:p>
      <w:pPr>
        <w:pStyle w:val="Heading2"/>
      </w:pPr>
      <w:r>
        <w:rPr>
          <w:color w:val="1F4E79"/>
        </w:rPr>
        <w:t>12.3 Possible next steps the instructing solicitor may wish to consider</w:t>
      </w:r>
    </w:p>
    <w:p>
      <w:pPr>
        <w:spacing w:after="160"/>
      </w:pPr>
      <w:r>
        <w:rPr>
          <w:rFonts w:ascii="Arial" w:hAnsi="Arial"/>
          <w:b w:val="0"/>
          <w:i w:val="0"/>
          <w:sz w:val="22"/>
        </w:rPr>
        <w:t>The following are possibilities only. They are not advice.</w:t>
      </w:r>
    </w:p>
    <w:p>
      <w:pPr>
        <w:spacing w:after="160"/>
      </w:pPr>
      <w:r>
        <w:rPr>
          <w:rFonts w:ascii="Arial" w:hAnsi="Arial"/>
          <w:b w:val="0"/>
          <w:i w:val="0"/>
          <w:sz w:val="22"/>
        </w:rPr>
        <w:t>• Request from the supplier a statement of any commission paid to the broker in respect of these contracts.</w:t>
      </w:r>
    </w:p>
    <w:p>
      <w:pPr>
        <w:spacing w:after="160"/>
      </w:pPr>
      <w:r>
        <w:rPr>
          <w:rFonts w:ascii="Arial" w:hAnsi="Arial"/>
          <w:b w:val="0"/>
          <w:i w:val="0"/>
          <w:sz w:val="22"/>
        </w:rPr>
        <w:t>• Request the supplier’s cost data or the wholesale series it actually used.</w:t>
      </w:r>
    </w:p>
    <w:p>
      <w:pPr>
        <w:spacing w:after="160"/>
      </w:pPr>
      <w:r>
        <w:rPr>
          <w:rFonts w:ascii="Arial" w:hAnsi="Arial"/>
          <w:b w:val="0"/>
          <w:i w:val="0"/>
          <w:sz w:val="22"/>
        </w:rPr>
        <w:t>• Obtain the full bill data showing consumption per register for the multi-rate sites.</w:t>
      </w:r>
    </w:p>
    <w:p>
      <w:pPr>
        <w:spacing w:after="160"/>
      </w:pPr>
      <w:r>
        <w:rPr>
          <w:rFonts w:ascii="Arial" w:hAnsi="Arial"/>
          <w:b w:val="0"/>
          <w:i w:val="0"/>
          <w:sz w:val="22"/>
        </w:rPr>
        <w:t>• Clarify the authority of the LOA signatory and the contract signatory.</w:t>
      </w:r>
    </w:p>
    <w:p>
      <w:pPr>
        <w:spacing w:after="160"/>
      </w:pPr>
      <w:r>
        <w:rPr>
          <w:rFonts w:ascii="Arial" w:hAnsi="Arial"/>
          <w:b w:val="0"/>
          <w:i w:val="0"/>
          <w:sz w:val="22"/>
        </w:rPr>
        <w:t>• Consider whether any further documents are needed before correspondence is sent to the supplier.</w:t>
      </w:r>
    </w:p>
    <w:p>
      <w:pPr>
        <w:pStyle w:val="Heading1"/>
      </w:pPr>
      <w:r>
        <w:rPr>
          <w:color w:val="1F4E79"/>
        </w:rPr>
        <w:t>13. Basis and confirmation</w:t>
      </w:r>
    </w:p>
    <w:p>
      <w:pPr>
        <w:spacing w:after="160"/>
      </w:pPr>
      <w:r>
        <w:rPr>
          <w:rFonts w:ascii="Arial" w:hAnsi="Arial"/>
          <w:b w:val="0"/>
          <w:i w:val="0"/>
          <w:sz w:val="22"/>
        </w:rPr>
        <w:t>This valuation is based only on the documents listed in Section 11 and the publicly available wholesale series identified in the text. Where information was missing, that is recorded at Section 10. The figures can be updated if further documents are supplied. This document does not contain legal advice.</w:t>
      </w:r>
    </w:p>
    <w:p/>
    <w:p>
      <w:pPr>
        <w:spacing w:after="160"/>
      </w:pPr>
      <w:r>
        <w:rPr>
          <w:rFonts w:ascii="Arial" w:hAnsi="Arial"/>
          <w:b w:val="0"/>
          <w:i w:val="0"/>
          <w:sz w:val="22"/>
        </w:rPr>
        <w:t>Signature: _______________________________     Date: _______________</w:t>
      </w:r>
    </w:p>
    <w:p>
      <w:pPr>
        <w:spacing w:after="160"/>
      </w:pPr>
      <w:r>
        <w:rPr>
          <w:rFonts w:ascii="Arial" w:hAnsi="Arial"/>
          <w:b w:val="0"/>
          <w:i w:val="0"/>
          <w:sz w:val="22"/>
        </w:rPr>
        <w:t>[NAME]</w:t>
      </w:r>
    </w:p>
    <w:p>
      <w:r>
        <w:br w:type="page"/>
      </w:r>
    </w:p>
    <w:p>
      <w:pPr>
        <w:pStyle w:val="Heading1"/>
      </w:pPr>
      <w:r>
        <w:rPr>
          <w:color w:val="1F4E79"/>
        </w:rPr>
        <w:t>Appendices</w:t>
      </w:r>
    </w:p>
    <w:p>
      <w:pPr>
        <w:spacing w:after="160"/>
      </w:pPr>
      <w:r>
        <w:rPr>
          <w:rFonts w:ascii="Arial" w:hAnsi="Arial"/>
          <w:b w:val="0"/>
          <w:i w:val="0"/>
          <w:sz w:val="22"/>
        </w:rPr>
        <w:t>Appendix A — Group calculation tables.</w:t>
      </w:r>
    </w:p>
    <w:p>
      <w:pPr>
        <w:spacing w:after="160"/>
      </w:pPr>
      <w:r>
        <w:rPr>
          <w:rFonts w:ascii="Arial" w:hAnsi="Arial"/>
          <w:b w:val="0"/>
          <w:i w:val="0"/>
          <w:sz w:val="22"/>
        </w:rPr>
        <w:t>Appendix B — Wholesale price series used (July 2018 ALL-IN 5.50 p/kWh; October 2018 ALL-IN 5.90 p/kWh; November 2018 ALL-IN 5.85 p/kWh).</w:t>
      </w:r>
    </w:p>
    <w:p>
      <w:pPr>
        <w:spacing w:after="160"/>
      </w:pPr>
      <w:r>
        <w:rPr>
          <w:rFonts w:ascii="Arial" w:hAnsi="Arial"/>
          <w:b w:val="0"/>
          <w:i w:val="0"/>
          <w:sz w:val="22"/>
        </w:rPr>
        <w:t>Appendix C — Interest workings.</w:t>
      </w:r>
    </w:p>
    <w:p>
      <w:pPr>
        <w:spacing w:after="160"/>
      </w:pPr>
      <w:r>
        <w:rPr>
          <w:rFonts w:ascii="Arial" w:hAnsi="Arial"/>
          <w:b w:val="0"/>
          <w:i w:val="0"/>
          <w:sz w:val="22"/>
        </w:rPr>
        <w:t>Appendix D — Authorities cited (for reference only).</w:t>
      </w:r>
    </w:p>
    <w:p>
      <w:pPr>
        <w:spacing w:after="160"/>
      </w:pPr>
      <w:r>
        <w:rPr>
          <w:rFonts w:ascii="Arial" w:hAnsi="Arial"/>
          <w:b w:val="0"/>
          <w:i w:val="0"/>
          <w:sz w:val="22"/>
        </w:rPr>
        <w:t>Appendix E — Glossary.</w:t>
      </w:r>
    </w:p>
    <w:sectPr w:rsidR="00FC693F" w:rsidRPr="0006063C" w:rsidSect="00034616">
      <w:headerReference w:type="default" r:id="rId9"/>
      <w:pgSz w:w="12240" w:h="15840"/>
      <w:pgMar w:top="1134"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left"/>
    </w:pPr>
    <w:r/>
    <w:r>
      <w:drawing>
        <wp:inline xmlns:a="http://schemas.openxmlformats.org/drawingml/2006/main" xmlns:pic="http://schemas.openxmlformats.org/drawingml/2006/picture">
          <wp:extent cx="335101" cy="502920"/>
          <wp:docPr id="1" name="Picture 1"/>
          <wp:cNvGraphicFramePr>
            <a:graphicFrameLocks noChangeAspect="1"/>
          </wp:cNvGraphicFramePr>
          <a:graphic>
            <a:graphicData uri="http://schemas.openxmlformats.org/drawingml/2006/picture">
              <pic:pic>
                <pic:nvPicPr>
                  <pic:cNvPr id="0" name="image.png"/>
                  <pic:cNvPicPr/>
                </pic:nvPicPr>
                <pic:blipFill>
                  <a:blip r:embed="rId1"/>
                  <a:stretch>
                    <a:fillRect/>
                  </a:stretch>
                </pic:blipFill>
                <pic:spPr>
                  <a:xfrm>
                    <a:off x="0" y="0"/>
                    <a:ext cx="335101" cy="502920"/>
                  </a:xfrm>
                  <a:prstGeom prst="rect"/>
                </pic:spPr>
              </pic:pic>
            </a:graphicData>
          </a:graphic>
        </wp:inline>
      </w:drawing>
    </w:r>
    <w:r>
      <w:rPr>
        <w:rFonts w:ascii="Calibri" w:hAnsi="Calibri" w:eastAsia="Calibri"/>
        <w:b/>
        <w:color w:val="7A1F2B"/>
        <w:sz w:val="18"/>
      </w:rPr>
      <w:t xml:space="preserve">    CRIMSON HORSE</w:t>
    </w:r>
  </w:p>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