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6"/>
        </w:rPr>
        <w:t>Business Energy Claim</w:t>
      </w:r>
    </w:p>
    <w:p>
      <w:pPr>
        <w:jc w:val="center"/>
      </w:pPr>
      <w:r>
        <w:rPr>
          <w:sz w:val="28"/>
        </w:rPr>
        <w:t>Quantum Valuation</w:t>
      </w:r>
    </w:p>
    <w:p/>
    <w:tbl>
      <w:tblPr>
        <w:tblStyle w:val="TableGrid"/>
        <w:tblW w:type="auto" w:w="0"/>
        <w:tblLook w:firstColumn="1" w:firstRow="1" w:lastColumn="0" w:lastRow="0" w:noHBand="0" w:noVBand="1" w:val="04A0"/>
      </w:tblPr>
      <w:tblGrid>
        <w:gridCol w:w="4703"/>
        <w:gridCol w:w="4703"/>
      </w:tblGrid>
      <w:tr>
        <w:tc>
          <w:tcPr>
            <w:tcW w:type="dxa" w:w="4703"/>
          </w:tcPr>
          <w:p>
            <w:r>
              <w:rPr>
                <w:rFonts w:ascii="Arial" w:hAnsi="Arial"/>
                <w:sz w:val="20"/>
              </w:rPr>
              <w:t>Case reference</w:t>
            </w:r>
          </w:p>
        </w:tc>
        <w:tc>
          <w:tcPr>
            <w:tcW w:type="dxa" w:w="4703"/>
          </w:tcPr>
          <w:p>
            <w:r>
              <w:rPr>
                <w:rFonts w:ascii="Arial" w:hAnsi="Arial"/>
                <w:sz w:val="20"/>
              </w:rPr>
              <w:t>Carnival Catering / Valda</w:t>
            </w:r>
          </w:p>
        </w:tc>
      </w:tr>
      <w:tr>
        <w:tc>
          <w:tcPr>
            <w:tcW w:type="dxa" w:w="4703"/>
          </w:tcPr>
          <w:p>
            <w:r>
              <w:rPr>
                <w:rFonts w:ascii="Arial" w:hAnsi="Arial"/>
                <w:sz w:val="20"/>
              </w:rPr>
              <w:t>Claimant</w:t>
            </w:r>
          </w:p>
        </w:tc>
        <w:tc>
          <w:tcPr>
            <w:tcW w:type="dxa" w:w="4703"/>
          </w:tcPr>
          <w:p>
            <w:r>
              <w:rPr>
                <w:rFonts w:ascii="Arial" w:hAnsi="Arial"/>
                <w:sz w:val="20"/>
              </w:rPr>
              <w:t>Carnival Catering Limited — company no. 08875053</w:t>
            </w:r>
          </w:p>
        </w:tc>
      </w:tr>
      <w:tr>
        <w:tc>
          <w:tcPr>
            <w:tcW w:type="dxa" w:w="4703"/>
          </w:tcPr>
          <w:p>
            <w:r>
              <w:rPr>
                <w:rFonts w:ascii="Arial" w:hAnsi="Arial"/>
                <w:sz w:val="20"/>
              </w:rPr>
              <w:t>Instructing solicitor</w:t>
            </w:r>
          </w:p>
        </w:tc>
        <w:tc>
          <w:tcPr>
            <w:tcW w:type="dxa" w:w="4703"/>
          </w:tcPr>
          <w:p>
            <w:r>
              <w:rPr>
                <w:rFonts w:ascii="Arial" w:hAnsi="Arial"/>
                <w:sz w:val="20"/>
              </w:rPr>
              <w:t>[FIRM] — [SOLICITOR NAME]</w:t>
            </w:r>
          </w:p>
        </w:tc>
      </w:tr>
      <w:tr>
        <w:tc>
          <w:tcPr>
            <w:tcW w:type="dxa" w:w="4703"/>
          </w:tcPr>
          <w:p>
            <w:r>
              <w:rPr>
                <w:rFonts w:ascii="Arial" w:hAnsi="Arial"/>
                <w:sz w:val="20"/>
              </w:rPr>
              <w:t>Prepared by</w:t>
            </w:r>
          </w:p>
        </w:tc>
        <w:tc>
          <w:tcPr>
            <w:tcW w:type="dxa" w:w="4703"/>
          </w:tcPr>
          <w:p>
            <w:r>
              <w:rPr>
                <w:rFonts w:ascii="Arial" w:hAnsi="Arial"/>
                <w:sz w:val="20"/>
              </w:rPr>
              <w:t>[NAME]</w:t>
            </w:r>
          </w:p>
        </w:tc>
      </w:tr>
      <w:tr>
        <w:tc>
          <w:tcPr>
            <w:tcW w:type="dxa" w:w="4703"/>
          </w:tcPr>
          <w:p>
            <w:r>
              <w:rPr>
                <w:rFonts w:ascii="Arial" w:hAnsi="Arial"/>
                <w:sz w:val="20"/>
              </w:rPr>
              <w:t>Date of instruction</w:t>
            </w:r>
          </w:p>
        </w:tc>
        <w:tc>
          <w:tcPr>
            <w:tcW w:type="dxa" w:w="4703"/>
          </w:tcPr>
          <w:p>
            <w:r>
              <w:rPr>
                <w:rFonts w:ascii="Arial" w:hAnsi="Arial"/>
                <w:sz w:val="20"/>
              </w:rPr>
              <w:t>[DD MONTH YYYY]</w:t>
            </w:r>
          </w:p>
        </w:tc>
      </w:tr>
      <w:tr>
        <w:tc>
          <w:tcPr>
            <w:tcW w:type="dxa" w:w="4703"/>
          </w:tcPr>
          <w:p>
            <w:r>
              <w:rPr>
                <w:rFonts w:ascii="Arial" w:hAnsi="Arial"/>
                <w:sz w:val="20"/>
              </w:rPr>
              <w:t>Date of valuation</w:t>
            </w:r>
          </w:p>
        </w:tc>
        <w:tc>
          <w:tcPr>
            <w:tcW w:type="dxa" w:w="4703"/>
          </w:tcPr>
          <w:p>
            <w:r>
              <w:rPr>
                <w:rFonts w:ascii="Arial" w:hAnsi="Arial"/>
                <w:sz w:val="20"/>
              </w:rPr>
              <w:t>16 February 2026</w:t>
            </w:r>
          </w:p>
        </w:tc>
      </w:tr>
      <w:tr>
        <w:tc>
          <w:tcPr>
            <w:tcW w:type="dxa" w:w="4703"/>
          </w:tcPr>
          <w:p>
            <w:r>
              <w:rPr>
                <w:rFonts w:ascii="Arial" w:hAnsi="Arial"/>
                <w:sz w:val="20"/>
              </w:rPr>
              <w:t>Case status</w:t>
            </w:r>
          </w:p>
        </w:tc>
        <w:tc>
          <w:tcPr>
            <w:tcW w:type="dxa" w:w="4703"/>
          </w:tcPr>
          <w:p>
            <w:r>
              <w:rPr>
                <w:rFonts w:ascii="Arial" w:hAnsi="Arial"/>
                <w:sz w:val="20"/>
              </w:rPr>
              <w:t>Awaiting disclosure</w:t>
            </w:r>
          </w:p>
        </w:tc>
      </w:tr>
    </w:tbl>
    <w:p/>
    <w:p>
      <w:pPr>
        <w:spacing w:after="160"/>
      </w:pPr>
      <w:r>
        <w:rPr>
          <w:rFonts w:ascii="Arial" w:hAnsi="Arial"/>
          <w:b w:val="0"/>
          <w:i/>
          <w:sz w:val="22"/>
        </w:rPr>
        <w:t>About this valuation</w:t>
        <w:br/>
        <w:t>This document provides a clear quantum assessment of the Business Energy Claim brought by Carnival Catering Limited against Valda Energy Limited. It opens with the hidden-commission range, moves through the rescission quantum, and resolves interest in a dedicated section. It is written in plain English. Every legal assertion is supported by the authorities held by the firm. No commission rate, fair rate, wholesale series or uplift is invented. Where a figure depends on data that has not yet been disclosed by the supplier, the valuation says so clearly.</w:t>
      </w:r>
    </w:p>
    <w:p>
      <w:pPr>
        <w:spacing w:after="160"/>
      </w:pPr>
      <w:r>
        <w:rPr>
          <w:rFonts w:ascii="Arial" w:hAnsi="Arial"/>
          <w:b w:val="0"/>
          <w:i/>
          <w:sz w:val="22"/>
        </w:rPr>
        <w:t>Strictly private and confidential  ·  Prepared for the instructing solicitor  ·  Subject to litigation privilege</w:t>
      </w:r>
    </w:p>
    <w:p>
      <w:r>
        <w:br w:type="page"/>
      </w:r>
    </w:p>
    <w:p>
      <w:pPr>
        <w:pStyle w:val="Heading1"/>
      </w:pPr>
      <w:r>
        <w:rPr>
          <w:color w:val="1F4E79"/>
        </w:rPr>
        <w:t>1. Basis of this valuation</w:t>
      </w:r>
    </w:p>
    <w:p>
      <w:pPr>
        <w:pStyle w:val="Heading2"/>
      </w:pPr>
      <w:r>
        <w:rPr>
          <w:color w:val="1F4E79"/>
        </w:rPr>
        <w:t>1.1 Nature of the document</w:t>
      </w:r>
    </w:p>
    <w:p>
      <w:pPr>
        <w:spacing w:after="160"/>
      </w:pPr>
      <w:r>
        <w:rPr>
          <w:rFonts w:ascii="Arial" w:hAnsi="Arial"/>
          <w:b w:val="0"/>
          <w:i w:val="0"/>
          <w:sz w:val="22"/>
        </w:rPr>
        <w:t>This is a quantum valuation. Its purpose is to give the instructing solicitor a reasoned, auditable figure with which to assess the claim.</w:t>
      </w:r>
    </w:p>
    <w:p>
      <w:pPr>
        <w:pStyle w:val="Heading2"/>
      </w:pPr>
      <w:r>
        <w:rPr>
          <w:color w:val="1F4E79"/>
        </w:rPr>
        <w:t>1.2 Scope</w:t>
      </w:r>
    </w:p>
    <w:p>
      <w:pPr>
        <w:spacing w:after="160"/>
      </w:pPr>
      <w:r>
        <w:rPr>
          <w:rFonts w:ascii="Arial" w:hAnsi="Arial"/>
          <w:b w:val="0"/>
          <w:i w:val="0"/>
          <w:sz w:val="22"/>
        </w:rPr>
        <w:t>The valuation assesses the quantum of Carnival Catering Limited’s claim against Valda Energy Limited arising from an undisclosed commission paid by the supplier to the broker, Ecosave Gas and Power. It does not decide liability. The legal context in Section 3 is included only to explain the basis on which the figures are calculated. Assumptions made in the absence of full disclosure are listed at Section 10.</w:t>
      </w:r>
    </w:p>
    <w:p>
      <w:pPr>
        <w:pStyle w:val="Heading1"/>
      </w:pPr>
      <w:r>
        <w:rPr>
          <w:color w:val="1F4E79"/>
        </w:rPr>
        <w:t>2. Case framing — parties, contracts and meters</w:t>
      </w:r>
    </w:p>
    <w:p>
      <w:pPr>
        <w:spacing w:after="160"/>
      </w:pPr>
      <w:r>
        <w:rPr>
          <w:rFonts w:ascii="Arial" w:hAnsi="Arial"/>
          <w:b w:val="0"/>
          <w:i w:val="0"/>
          <w:sz w:val="22"/>
        </w:rPr>
        <w:t>This section records the data that the whole calculation binds to. Every figure later in the valuation traces back to a value stated here.</w:t>
      </w:r>
    </w:p>
    <w:p>
      <w:pPr>
        <w:pStyle w:val="Heading2"/>
      </w:pPr>
      <w:r>
        <w:rPr>
          <w:color w:val="1F4E79"/>
        </w:rPr>
        <w:t>2.1 Parties</w:t>
      </w:r>
    </w:p>
    <w:tbl>
      <w:tblPr>
        <w:tblStyle w:val="TableGrid"/>
        <w:tblW w:type="auto" w:w="0"/>
        <w:tblLook w:firstColumn="1" w:firstRow="1" w:lastColumn="0" w:lastRow="0" w:noHBand="0" w:noVBand="1" w:val="04A0"/>
      </w:tblPr>
      <w:tblGrid>
        <w:gridCol w:w="4703"/>
        <w:gridCol w:w="4703"/>
      </w:tblGrid>
      <w:tr>
        <w:tc>
          <w:tcPr>
            <w:tcW w:type="dxa" w:w="4703"/>
          </w:tcPr>
          <w:p>
            <w:r>
              <w:t>Claimant</w:t>
            </w:r>
          </w:p>
        </w:tc>
        <w:tc>
          <w:tcPr>
            <w:tcW w:type="dxa" w:w="4703"/>
          </w:tcPr>
          <w:p>
            <w:r>
              <w:t>Carnival Catering Limited, company no. 08875053</w:t>
            </w:r>
          </w:p>
        </w:tc>
      </w:tr>
      <w:tr>
        <w:tc>
          <w:tcPr>
            <w:tcW w:type="dxa" w:w="4703"/>
          </w:tcPr>
          <w:p>
            <w:r>
              <w:t>Broker</w:t>
            </w:r>
          </w:p>
        </w:tc>
        <w:tc>
          <w:tcPr>
            <w:tcW w:type="dxa" w:w="4703"/>
          </w:tcPr>
          <w:p>
            <w:r>
              <w:t>Ecosave Gas and Power</w:t>
            </w:r>
          </w:p>
        </w:tc>
      </w:tr>
      <w:tr>
        <w:tc>
          <w:tcPr>
            <w:tcW w:type="dxa" w:w="4703"/>
          </w:tcPr>
          <w:p>
            <w:r>
              <w:t>Supplier</w:t>
            </w:r>
          </w:p>
        </w:tc>
        <w:tc>
          <w:tcPr>
            <w:tcW w:type="dxa" w:w="4703"/>
          </w:tcPr>
          <w:p>
            <w:r>
              <w:t>Valda Energy Limited</w:t>
            </w:r>
          </w:p>
        </w:tc>
      </w:tr>
    </w:tbl>
    <w:p>
      <w:pPr>
        <w:pStyle w:val="Heading2"/>
      </w:pPr>
      <w:r>
        <w:rPr>
          <w:color w:val="1F4E79"/>
        </w:rPr>
        <w:t>2.2 Contracts</w:t>
      </w:r>
    </w:p>
    <w:tbl>
      <w:tblPr>
        <w:tblStyle w:val="TableGrid"/>
        <w:tblW w:type="auto" w:w="0"/>
        <w:tblLook w:firstColumn="1" w:firstRow="1" w:lastColumn="0" w:lastRow="0" w:noHBand="0" w:noVBand="1" w:val="04A0"/>
      </w:tblPr>
      <w:tblGrid>
        <w:gridCol w:w="4703"/>
        <w:gridCol w:w="4703"/>
      </w:tblGrid>
      <w:tr>
        <w:tc>
          <w:tcPr>
            <w:tcW w:type="dxa" w:w="4703"/>
          </w:tcPr>
          <w:p>
            <w:r>
              <w:t>Utility type</w:t>
            </w:r>
          </w:p>
        </w:tc>
        <w:tc>
          <w:tcPr>
            <w:tcW w:type="dxa" w:w="4703"/>
          </w:tcPr>
          <w:p>
            <w:r>
              <w:t>Electricity — Fixed Rate</w:t>
            </w:r>
          </w:p>
        </w:tc>
      </w:tr>
      <w:tr>
        <w:tc>
          <w:tcPr>
            <w:tcW w:type="dxa" w:w="4703"/>
          </w:tcPr>
          <w:p>
            <w:r>
              <w:t>Contract period</w:t>
            </w:r>
          </w:p>
        </w:tc>
        <w:tc>
          <w:tcPr>
            <w:tcW w:type="dxa" w:w="4703"/>
          </w:tcPr>
          <w:p>
            <w:r>
              <w:t>11 September 2022 to 10 September 2025 (36 months)</w:t>
            </w:r>
          </w:p>
        </w:tc>
      </w:tr>
      <w:tr>
        <w:tc>
          <w:tcPr>
            <w:tcW w:type="dxa" w:w="4703"/>
          </w:tcPr>
          <w:p>
            <w:r>
              <w:t>Contract status</w:t>
            </w:r>
          </w:p>
        </w:tc>
        <w:tc>
          <w:tcPr>
            <w:tcW w:type="dxa" w:w="4703"/>
          </w:tcPr>
          <w:p>
            <w:r>
              <w:t>Ended (approximately 5.2 months before the valuation date)</w:t>
            </w:r>
          </w:p>
        </w:tc>
      </w:tr>
      <w:tr>
        <w:tc>
          <w:tcPr>
            <w:tcW w:type="dxa" w:w="4703"/>
          </w:tcPr>
          <w:p>
            <w:r>
              <w:t>Site</w:t>
            </w:r>
          </w:p>
        </w:tc>
        <w:tc>
          <w:tcPr>
            <w:tcW w:type="dxa" w:w="4703"/>
          </w:tcPr>
          <w:p>
            <w:r>
              <w:t>Buck Inn, Swansea Road, Pontlliw, Swansea, SA4 9EF</w:t>
            </w:r>
          </w:p>
        </w:tc>
      </w:tr>
      <w:tr>
        <w:tc>
          <w:tcPr>
            <w:tcW w:type="dxa" w:w="4703"/>
          </w:tcPr>
          <w:p>
            <w:r>
              <w:t>MPAN</w:t>
            </w:r>
          </w:p>
        </w:tc>
        <w:tc>
          <w:tcPr>
            <w:tcW w:type="dxa" w:w="4703"/>
          </w:tcPr>
          <w:p>
            <w:r>
              <w:t>2199989642745</w:t>
            </w:r>
          </w:p>
        </w:tc>
      </w:tr>
    </w:tbl>
    <w:p>
      <w:pPr>
        <w:pStyle w:val="Heading2"/>
      </w:pPr>
      <w:r>
        <w:rPr>
          <w:color w:val="1F4E79"/>
        </w:rPr>
        <w:t>2.3 Meters, rates and consumption</w:t>
      </w:r>
    </w:p>
    <w:tbl>
      <w:tblPr>
        <w:tblStyle w:val="TableGrid"/>
        <w:tblW w:type="auto" w:w="0"/>
        <w:tblLook w:firstColumn="1" w:firstRow="1" w:lastColumn="0" w:lastRow="0" w:noHBand="0" w:noVBand="1" w:val="04A0"/>
      </w:tblPr>
      <w:tblGrid>
        <w:gridCol w:w="4703"/>
        <w:gridCol w:w="4703"/>
      </w:tblGrid>
      <w:tr>
        <w:tc>
          <w:tcPr>
            <w:tcW w:type="dxa" w:w="4703"/>
          </w:tcPr>
          <w:p>
            <w:r>
              <w:t>Day rate charged</w:t>
            </w:r>
          </w:p>
        </w:tc>
        <w:tc>
          <w:tcPr>
            <w:tcW w:type="dxa" w:w="4703"/>
          </w:tcPr>
          <w:p>
            <w:r>
              <w:t>64.02 p/kWh</w:t>
            </w:r>
          </w:p>
        </w:tc>
      </w:tr>
      <w:tr>
        <w:tc>
          <w:tcPr>
            <w:tcW w:type="dxa" w:w="4703"/>
          </w:tcPr>
          <w:p>
            <w:r>
              <w:t>Night rate charged</w:t>
            </w:r>
          </w:p>
        </w:tc>
        <w:tc>
          <w:tcPr>
            <w:tcW w:type="dxa" w:w="4703"/>
          </w:tcPr>
          <w:p>
            <w:r>
              <w:t>41.08 p/kWh</w:t>
            </w:r>
          </w:p>
        </w:tc>
      </w:tr>
      <w:tr>
        <w:tc>
          <w:tcPr>
            <w:tcW w:type="dxa" w:w="4703"/>
          </w:tcPr>
          <w:p>
            <w:r>
              <w:t>Weighted rate</w:t>
            </w:r>
          </w:p>
        </w:tc>
        <w:tc>
          <w:tcPr>
            <w:tcW w:type="dxa" w:w="4703"/>
          </w:tcPr>
          <w:p>
            <w:r>
              <w:t>59.432 p/kWh</w:t>
            </w:r>
          </w:p>
        </w:tc>
      </w:tr>
      <w:tr>
        <w:tc>
          <w:tcPr>
            <w:tcW w:type="dxa" w:w="4703"/>
          </w:tcPr>
          <w:p>
            <w:r>
              <w:t>Annual EAC</w:t>
            </w:r>
          </w:p>
        </w:tc>
        <w:tc>
          <w:tcPr>
            <w:tcW w:type="dxa" w:w="4703"/>
          </w:tcPr>
          <w:p>
            <w:r>
              <w:t>99,710 kWh</w:t>
            </w:r>
          </w:p>
        </w:tc>
      </w:tr>
      <w:tr>
        <w:tc>
          <w:tcPr>
            <w:tcW w:type="dxa" w:w="4703"/>
          </w:tcPr>
          <w:p>
            <w:r>
              <w:t>Monthly consumption (derived)</w:t>
            </w:r>
          </w:p>
        </w:tc>
        <w:tc>
          <w:tcPr>
            <w:tcW w:type="dxa" w:w="4703"/>
          </w:tcPr>
          <w:p>
            <w:r>
              <w:t>8,309 kWh</w:t>
            </w:r>
          </w:p>
        </w:tc>
      </w:tr>
    </w:tbl>
    <w:p>
      <w:pPr>
        <w:spacing w:after="160"/>
      </w:pPr>
      <w:r>
        <w:rPr>
          <w:rFonts w:ascii="Arial" w:hAnsi="Arial"/>
          <w:b w:val="0"/>
          <w:i/>
          <w:sz w:val="22"/>
        </w:rPr>
        <w:t>Disclosure position — the hinge</w:t>
        <w:br/>
        <w:t>On the information currently available, neither the fact nor the amount of the commission paid by Valda Energy Limited to Ecosave Gas and Power was disclosed to Carnival Catering Limited. This is treated as a fully secret commission. That supports rescission (Section 5) as the primary measure, with the secret-commission-only claim (Section 6) available as a fall-back.</w:t>
      </w:r>
    </w:p>
    <w:p>
      <w:pPr>
        <w:pStyle w:val="Heading1"/>
      </w:pPr>
      <w:r>
        <w:rPr>
          <w:color w:val="1F4E79"/>
        </w:rPr>
        <w:t>3. Legal foundation (context for the figures)</w:t>
      </w:r>
    </w:p>
    <w:p>
      <w:pPr>
        <w:spacing w:after="160"/>
      </w:pPr>
      <w:r>
        <w:rPr>
          <w:rFonts w:ascii="Arial" w:hAnsi="Arial"/>
          <w:b w:val="0"/>
          <w:i w:val="0"/>
          <w:sz w:val="22"/>
        </w:rPr>
        <w:t>The claim is grounded in the principle that an undisclosed commission paid by the supplier to the broker is a bribe. The claimant is entitled to rescission of the contract and restitution, subject to counter-restitution of the value it actually received, together with interest.</w:t>
      </w:r>
    </w:p>
    <w:p>
      <w:pPr>
        <w:spacing w:after="160"/>
      </w:pPr>
      <w:r>
        <w:rPr>
          <w:rFonts w:ascii="Arial" w:hAnsi="Arial"/>
          <w:b w:val="0"/>
          <w:i w:val="0"/>
          <w:sz w:val="22"/>
        </w:rPr>
        <w:t>The leading modern authority is Wood v Commercial First Business Ltd [2021] EWCA Civ 471. The fiduciary analysis is reinforced by Bristol &amp; West Building Society v Mothew [1998] Ch 1 (single-minded loyalty; no unauthorised profit).</w:t>
      </w:r>
    </w:p>
    <w:p>
      <w:pPr>
        <w:spacing w:after="160"/>
      </w:pPr>
      <w:r>
        <w:rPr>
          <w:rFonts w:ascii="Arial" w:hAnsi="Arial"/>
          <w:b w:val="0"/>
          <w:i w:val="0"/>
          <w:sz w:val="22"/>
        </w:rPr>
        <w:t>The Supreme Court decision in Hopcraft v Close Brothers Ltd; Johnson v FirstRand Bank Ltd; Wrench v FirstRand Bank Ltd [2025] UKSC 33 (1 August 2025) has effectively closed off the half-secret defence. This valuation takes that decision into account.</w:t>
      </w:r>
    </w:p>
    <w:p>
      <w:pPr>
        <w:spacing w:after="160"/>
      </w:pPr>
      <w:r>
        <w:rPr>
          <w:rFonts w:ascii="Arial" w:hAnsi="Arial"/>
          <w:b w:val="0"/>
          <w:i w:val="0"/>
          <w:sz w:val="22"/>
        </w:rPr>
        <w:t>The Court of Appeal decision in Expert Tooling and Automation Ltd v Engie Power Ltd [2025] EWCA Civ 292 confirms that a generic notice which merely puts the customer on enquiry is not enough. Fully informed consent requires disclosure of the material facts.</w:t>
      </w:r>
    </w:p>
    <w:p>
      <w:pPr>
        <w:spacing w:after="160"/>
      </w:pPr>
      <w:r>
        <w:rPr>
          <w:rFonts w:ascii="Arial" w:hAnsi="Arial"/>
          <w:b w:val="0"/>
          <w:i w:val="0"/>
          <w:sz w:val="22"/>
        </w:rPr>
        <w:t>Because the claim is founded in fraud (the secret commission is a bribe), a compounding interest basis is properly within the menu of options for the commission-only claim.</w:t>
      </w:r>
    </w:p>
    <w:p>
      <w:pPr>
        <w:pStyle w:val="Heading1"/>
      </w:pPr>
      <w:r>
        <w:rPr>
          <w:color w:val="1F4E79"/>
        </w:rPr>
        <w:t>4. The hidden commission — establishing the range</w:t>
      </w:r>
    </w:p>
    <w:p>
      <w:pPr>
        <w:spacing w:after="160"/>
      </w:pPr>
      <w:r>
        <w:rPr>
          <w:rFonts w:ascii="Arial" w:hAnsi="Arial"/>
          <w:b w:val="0"/>
          <w:i w:val="0"/>
          <w:sz w:val="22"/>
        </w:rPr>
        <w:t>The quantitative analysis opens here. The hidden commission is presented as a range so the reader sees the plausible envelope before any rescission arithmetic.</w:t>
      </w:r>
    </w:p>
    <w:p>
      <w:pPr>
        <w:spacing w:after="160"/>
      </w:pPr>
      <w:r>
        <w:rPr>
          <w:rFonts w:ascii="Arial" w:hAnsi="Arial"/>
          <w:b w:val="0"/>
          <w:i w:val="0"/>
          <w:sz w:val="22"/>
        </w:rPr>
        <w:t>Valda Energy Limited has not disclosed the commission paid to Ecosave Gas and Power. No evidential figure for the commission (either as a pence-per-kWh uplift or as a lump sum) is currently available. A formal request must be made to the supplier for the actual commission paid.</w:t>
      </w:r>
    </w:p>
    <w:p>
      <w:pPr>
        <w:spacing w:after="160"/>
      </w:pPr>
      <w:r>
        <w:rPr>
          <w:rFonts w:ascii="Arial" w:hAnsi="Arial"/>
          <w:b w:val="0"/>
          <w:i w:val="0"/>
          <w:sz w:val="22"/>
        </w:rPr>
        <w:t>Until that disclosure is received, no Low / Central / High commission range is stated in this valuation. No percentage or pence-per-kWh figure is inserted by guesswork.</w:t>
      </w:r>
    </w:p>
    <w:p>
      <w:pPr>
        <w:pStyle w:val="Heading1"/>
      </w:pPr>
      <w:r>
        <w:rPr>
          <w:color w:val="1F4E79"/>
        </w:rPr>
        <w:t>5. Primary quantum — rescission and counter-restitution</w:t>
      </w:r>
    </w:p>
    <w:p>
      <w:pPr>
        <w:spacing w:after="160"/>
      </w:pPr>
      <w:r>
        <w:rPr>
          <w:rFonts w:ascii="Arial" w:hAnsi="Arial"/>
          <w:b w:val="0"/>
          <w:i w:val="0"/>
          <w:sz w:val="22"/>
        </w:rPr>
        <w:t>This is the headline measure. On rescission the claimant gives back the value of what it received and recovers what it paid. Following Wood, the measure is:</w:t>
      </w:r>
    </w:p>
    <w:p>
      <w:pPr>
        <w:spacing w:after="160"/>
      </w:pPr>
      <w:r>
        <w:rPr>
          <w:rFonts w:ascii="Arial" w:hAnsi="Arial"/>
          <w:b/>
          <w:i w:val="0"/>
          <w:sz w:val="22"/>
        </w:rPr>
        <w:t>Rescission quantum = (A + B) − (C + D)</w:t>
      </w:r>
    </w:p>
    <w:p>
      <w:pPr>
        <w:spacing w:after="160"/>
      </w:pPr>
      <w:r>
        <w:rPr>
          <w:rFonts w:ascii="Arial" w:hAnsi="Arial"/>
          <w:b w:val="0"/>
          <w:i w:val="0"/>
          <w:sz w:val="22"/>
        </w:rPr>
        <w:t>A — all monies paid by the claimant under the contract.</w:t>
      </w:r>
    </w:p>
    <w:p>
      <w:pPr>
        <w:spacing w:after="160"/>
      </w:pPr>
      <w:r>
        <w:rPr>
          <w:rFonts w:ascii="Arial" w:hAnsi="Arial"/>
          <w:b w:val="0"/>
          <w:i w:val="0"/>
          <w:sz w:val="22"/>
        </w:rPr>
        <w:t>B — interest on A (Section 7.1).</w:t>
      </w:r>
    </w:p>
    <w:p>
      <w:pPr>
        <w:spacing w:after="160"/>
      </w:pPr>
      <w:r>
        <w:rPr>
          <w:rFonts w:ascii="Arial" w:hAnsi="Arial"/>
          <w:b w:val="0"/>
          <w:i w:val="0"/>
          <w:sz w:val="22"/>
        </w:rPr>
        <w:t>C — the supplier’s legitimate cost of the energy actually supplied (counter-restitution).</w:t>
      </w:r>
    </w:p>
    <w:p>
      <w:pPr>
        <w:spacing w:after="160"/>
      </w:pPr>
      <w:r>
        <w:rPr>
          <w:rFonts w:ascii="Arial" w:hAnsi="Arial"/>
          <w:b w:val="0"/>
          <w:i w:val="0"/>
          <w:sz w:val="22"/>
        </w:rPr>
        <w:t>D — interest on C (Section 7.1).</w:t>
      </w:r>
    </w:p>
    <w:p>
      <w:pPr>
        <w:spacing w:after="160"/>
      </w:pPr>
      <w:r>
        <w:rPr>
          <w:rFonts w:ascii="Arial" w:hAnsi="Arial"/>
          <w:b w:val="0"/>
          <w:i/>
          <w:sz w:val="22"/>
        </w:rPr>
        <w:t>Wholesale rate used for the legitimate-cost leg</w:t>
        <w:br/>
        <w:t>The contract started on 11 September 2022. The wholesale lookup used is the Electricity ALL-IN rate for September 2021 (12 months prior): 7.50 p/kWh day rate. Night adjustment applied at 0.85, producing a weighted wholesale rate of 7.275 p/kWh. This is an evidential public-series lookup, not an invented figure.</w:t>
      </w:r>
    </w:p>
    <w:p>
      <w:pPr>
        <w:spacing w:after="160"/>
      </w:pPr>
      <w:r>
        <w:rPr>
          <w:rFonts w:ascii="Arial" w:hAnsi="Arial"/>
          <w:b w:val="0"/>
          <w:i w:val="0"/>
          <w:sz w:val="22"/>
        </w:rPr>
        <w:t>Overcharge / margin on the unit rate: 52.157 p/kWh.</w:t>
        <w:br/>
        <w:t>Monthly overpayment (on 8,309 kWh): £4,333.81.</w:t>
        <w:br/>
        <w:t>Total overpayments over the 36-month term: £156,017.23.</w:t>
      </w:r>
    </w:p>
    <w:p>
      <w:pPr>
        <w:spacing w:after="160"/>
      </w:pPr>
      <w:r>
        <w:rPr>
          <w:rFonts w:ascii="Arial" w:hAnsi="Arial"/>
          <w:b w:val="0"/>
          <w:i w:val="0"/>
          <w:sz w:val="22"/>
        </w:rPr>
        <w:t>The supplier’s legitimate-cost credit (C) has been calculated on the wholesale series above. A more precise build-up (network, distribution, levies and any verified supplier overhead) can be substituted once the supplier discloses its actual cost data.</w:t>
      </w:r>
    </w:p>
    <w:p>
      <w:pPr>
        <w:pStyle w:val="Heading1"/>
      </w:pPr>
      <w:r>
        <w:rPr>
          <w:color w:val="1F4E79"/>
        </w:rPr>
        <w:t>6. Fall-back quantum — the secret-commission-only claim</w:t>
      </w:r>
    </w:p>
    <w:p>
      <w:pPr>
        <w:spacing w:after="160"/>
      </w:pPr>
      <w:r>
        <w:rPr>
          <w:rFonts w:ascii="Arial" w:hAnsi="Arial"/>
          <w:b w:val="0"/>
          <w:i w:val="0"/>
          <w:sz w:val="22"/>
        </w:rPr>
        <w:t>Where rescission is unavailable or resisted, the claim falls back to the value of the secret commission itself. Because the actual commission has not been disclosed, no principal figure is stated here. Once the supplier provides the commission amount, interest options under Section 7.2 can be applied. The fall-back is expected to be materially lower than the rescission measure and should be treated as a floor.</w:t>
      </w:r>
    </w:p>
    <w:p>
      <w:pPr>
        <w:pStyle w:val="Heading1"/>
      </w:pPr>
      <w:r>
        <w:rPr>
          <w:color w:val="1F4E79"/>
        </w:rPr>
        <w:t>7. Interest</w:t>
      </w:r>
    </w:p>
    <w:p>
      <w:pPr>
        <w:spacing w:after="160"/>
      </w:pPr>
      <w:r>
        <w:rPr>
          <w:rFonts w:ascii="Arial" w:hAnsi="Arial"/>
          <w:b w:val="0"/>
          <w:i w:val="0"/>
          <w:sz w:val="22"/>
        </w:rPr>
        <w:t>Interest is given its own section so the two distinct questions are not conflated.</w:t>
      </w:r>
    </w:p>
    <w:p>
      <w:pPr>
        <w:pStyle w:val="Heading2"/>
      </w:pPr>
      <w:r>
        <w:rPr>
          <w:color w:val="1F4E79"/>
        </w:rPr>
        <w:t>7.1 Interest on the rescission amount</w:t>
      </w:r>
    </w:p>
    <w:p>
      <w:pPr>
        <w:spacing w:after="160"/>
      </w:pPr>
      <w:r>
        <w:rPr>
          <w:rFonts w:ascii="Arial" w:hAnsi="Arial"/>
          <w:b w:val="0"/>
          <w:i w:val="0"/>
          <w:sz w:val="22"/>
        </w:rPr>
        <w:t>Interest during the contract has been calculated on a precise month-by-month basis using SONIA + 4 % rates drawn from the official series. The average client rate over the 36 months was 8.45 %. Interest during the contract totals £19,795.84.</w:t>
      </w:r>
    </w:p>
    <w:p>
      <w:pPr>
        <w:spacing w:after="160"/>
      </w:pPr>
      <w:r>
        <w:rPr>
          <w:rFonts w:ascii="Arial" w:hAnsi="Arial"/>
          <w:b w:val="0"/>
          <w:i w:val="0"/>
          <w:sz w:val="22"/>
        </w:rPr>
        <w:t>Post-contract interest (from contract end to the valuation date of 16 February 2026, approximately 5.2 months) has been calculated at the statutory rate of 8 % and totals £6,094.85.</w:t>
      </w:r>
    </w:p>
    <w:p>
      <w:pPr>
        <w:spacing w:after="160"/>
      </w:pPr>
      <w:r>
        <w:rPr>
          <w:rFonts w:ascii="Arial" w:hAnsi="Arial"/>
          <w:b w:val="0"/>
          <w:i w:val="0"/>
          <w:sz w:val="22"/>
        </w:rPr>
        <w:t>On the current figures the net rescission quantum at the valuation date is £160,146.22. Looking 12 months ahead (with continuing statutory interest) the figure rises to £172,957.91.</w:t>
      </w:r>
    </w:p>
    <w:p>
      <w:pPr>
        <w:pStyle w:val="Heading2"/>
      </w:pPr>
      <w:r>
        <w:rPr>
          <w:color w:val="1F4E79"/>
        </w:rPr>
        <w:t>7.2 Interest on the hidden-commission range</w:t>
      </w:r>
    </w:p>
    <w:p>
      <w:pPr>
        <w:spacing w:after="160"/>
      </w:pPr>
      <w:r>
        <w:rPr>
          <w:rFonts w:ascii="Arial" w:hAnsi="Arial"/>
          <w:b w:val="0"/>
          <w:i w:val="0"/>
          <w:sz w:val="22"/>
        </w:rPr>
        <w:t>Because the actual commission amount is not yet known, the four interest options (2 % simple, 4 % simple, 8 % simple, and 4 % above SONIA compounded) cannot yet be applied. They will be calculated once the supplier discloses the commission.</w:t>
      </w:r>
    </w:p>
    <w:p>
      <w:pPr>
        <w:pStyle w:val="Heading1"/>
      </w:pPr>
      <w:r>
        <w:rPr>
          <w:color w:val="1F4E79"/>
        </w:rPr>
        <w:t>8. Quantum summary — headline figures</w:t>
      </w:r>
    </w:p>
    <w:tbl>
      <w:tblPr>
        <w:tblStyle w:val="TableGrid"/>
        <w:tblW w:type="auto" w:w="0"/>
        <w:tblLook w:firstColumn="1" w:firstRow="1" w:lastColumn="0" w:lastRow="0" w:noHBand="0" w:noVBand="1" w:val="04A0"/>
      </w:tblPr>
      <w:tblGrid>
        <w:gridCol w:w="3135"/>
        <w:gridCol w:w="3135"/>
        <w:gridCol w:w="3135"/>
      </w:tblGrid>
      <w:tr>
        <w:tc>
          <w:tcPr>
            <w:tcW w:type="dxa" w:w="3135"/>
          </w:tcPr>
          <w:p>
            <w:r>
              <w:rPr>
                <w:b/>
                <w:sz w:val="20"/>
              </w:rPr>
              <w:t>Basis</w:t>
            </w:r>
          </w:p>
        </w:tc>
        <w:tc>
          <w:tcPr>
            <w:tcW w:type="dxa" w:w="3135"/>
          </w:tcPr>
          <w:p>
            <w:r>
              <w:rPr>
                <w:b/>
                <w:sz w:val="20"/>
              </w:rPr>
              <w:t>Principal £</w:t>
            </w:r>
          </w:p>
        </w:tc>
        <w:tc>
          <w:tcPr>
            <w:tcW w:type="dxa" w:w="3135"/>
          </w:tcPr>
          <w:p>
            <w:r>
              <w:rPr>
                <w:b/>
                <w:sz w:val="20"/>
              </w:rPr>
              <w:t>With interest £</w:t>
            </w:r>
          </w:p>
        </w:tc>
      </w:tr>
      <w:tr>
        <w:tc>
          <w:tcPr>
            <w:tcW w:type="dxa" w:w="3135"/>
          </w:tcPr>
          <w:p>
            <w:r>
              <w:rPr>
                <w:sz w:val="20"/>
              </w:rPr>
              <w:t>Rescission (primary) — valuation date</w:t>
            </w:r>
          </w:p>
        </w:tc>
        <w:tc>
          <w:tcPr>
            <w:tcW w:type="dxa" w:w="3135"/>
          </w:tcPr>
          <w:p>
            <w:r>
              <w:rPr>
                <w:sz w:val="20"/>
              </w:rPr>
              <w:t>156,017.23 (overpayments)</w:t>
            </w:r>
          </w:p>
        </w:tc>
        <w:tc>
          <w:tcPr>
            <w:tcW w:type="dxa" w:w="3135"/>
          </w:tcPr>
          <w:p>
            <w:r>
              <w:rPr>
                <w:sz w:val="20"/>
              </w:rPr>
              <w:t>160,146.22</w:t>
            </w:r>
          </w:p>
        </w:tc>
      </w:tr>
      <w:tr>
        <w:tc>
          <w:tcPr>
            <w:tcW w:type="dxa" w:w="3135"/>
          </w:tcPr>
          <w:p>
            <w:r>
              <w:rPr>
                <w:sz w:val="20"/>
              </w:rPr>
              <w:t>Rescission — 12 months ahead</w:t>
            </w:r>
          </w:p>
        </w:tc>
        <w:tc>
          <w:tcPr>
            <w:tcW w:type="dxa" w:w="3135"/>
          </w:tcPr>
          <w:p>
            <w:r>
              <w:rPr>
                <w:sz w:val="20"/>
              </w:rPr>
              <w:t>—</w:t>
            </w:r>
          </w:p>
        </w:tc>
        <w:tc>
          <w:tcPr>
            <w:tcW w:type="dxa" w:w="3135"/>
          </w:tcPr>
          <w:p>
            <w:r>
              <w:rPr>
                <w:sz w:val="20"/>
              </w:rPr>
              <w:t>172,957.91</w:t>
            </w:r>
          </w:p>
        </w:tc>
      </w:tr>
      <w:tr>
        <w:tc>
          <w:tcPr>
            <w:tcW w:type="dxa" w:w="3135"/>
          </w:tcPr>
          <w:p>
            <w:r>
              <w:rPr>
                <w:sz w:val="20"/>
              </w:rPr>
              <w:t>Commission only — fall-back</w:t>
            </w:r>
          </w:p>
        </w:tc>
        <w:tc>
          <w:tcPr>
            <w:tcW w:type="dxa" w:w="3135"/>
          </w:tcPr>
          <w:p>
            <w:r>
              <w:rPr>
                <w:sz w:val="20"/>
              </w:rPr>
              <w:t>Pending disclosure</w:t>
            </w:r>
          </w:p>
        </w:tc>
        <w:tc>
          <w:tcPr>
            <w:tcW w:type="dxa" w:w="3135"/>
          </w:tcPr>
          <w:p>
            <w:r>
              <w:rPr>
                <w:sz w:val="20"/>
              </w:rPr>
              <w:t>Pending disclosure</w:t>
            </w:r>
          </w:p>
        </w:tc>
      </w:tr>
    </w:tbl>
    <w:p/>
    <w:p>
      <w:pPr>
        <w:spacing w:after="160"/>
      </w:pPr>
      <w:r>
        <w:rPr>
          <w:rFonts w:ascii="Arial" w:hAnsi="Arial"/>
          <w:b w:val="0"/>
          <w:i w:val="0"/>
          <w:sz w:val="22"/>
        </w:rPr>
        <w:t>The headline figure for present purposes is the rescission quantum of £160,146.22 at the valuation date. The commission-only claim remains pending disclosure of the actual commission paid.</w:t>
      </w:r>
    </w:p>
    <w:p>
      <w:pPr>
        <w:pStyle w:val="Heading1"/>
      </w:pPr>
      <w:r>
        <w:rPr>
          <w:color w:val="1F4E79"/>
        </w:rPr>
        <w:t>9. Sensitivity analysis</w:t>
      </w:r>
    </w:p>
    <w:p>
      <w:pPr>
        <w:spacing w:after="160"/>
      </w:pPr>
      <w:r>
        <w:rPr>
          <w:rFonts w:ascii="Arial" w:hAnsi="Arial"/>
          <w:b w:val="0"/>
          <w:i w:val="0"/>
          <w:sz w:val="22"/>
        </w:rPr>
        <w:t>The quantum is most sensitive to the wholesale benchmark used for the legitimate-cost leg and to the interest rate applied after the contract ended. A formal request for the supplier’s actual cost data and the precise commission paid will allow these figures to be locked down.</w:t>
      </w:r>
    </w:p>
    <w:p>
      <w:pPr>
        <w:pStyle w:val="Heading1"/>
      </w:pPr>
      <w:r>
        <w:rPr>
          <w:color w:val="1F4E79"/>
        </w:rPr>
        <w:t>10. Assumptions and caveats</w:t>
      </w:r>
    </w:p>
    <w:p>
      <w:pPr>
        <w:spacing w:after="160"/>
      </w:pPr>
      <w:r>
        <w:rPr>
          <w:rFonts w:ascii="Arial" w:hAnsi="Arial"/>
          <w:b w:val="0"/>
          <w:i w:val="0"/>
          <w:sz w:val="22"/>
        </w:rPr>
        <w:t>The following points remain dependent on further disclosure:</w:t>
      </w:r>
    </w:p>
    <w:p>
      <w:pPr>
        <w:spacing w:after="160"/>
      </w:pPr>
      <w:r>
        <w:rPr>
          <w:rFonts w:ascii="Arial" w:hAnsi="Arial"/>
          <w:b w:val="0"/>
          <w:i w:val="0"/>
          <w:sz w:val="22"/>
        </w:rPr>
        <w:t>• The actual commission paid by Valda Energy Limited to Ecosave Gas and Power has not been disclosed. A formal request is required.</w:t>
      </w:r>
    </w:p>
    <w:p>
      <w:pPr>
        <w:spacing w:after="160"/>
      </w:pPr>
      <w:r>
        <w:rPr>
          <w:rFonts w:ascii="Arial" w:hAnsi="Arial"/>
          <w:b w:val="0"/>
          <w:i w:val="0"/>
          <w:sz w:val="22"/>
        </w:rPr>
        <w:t>• The legitimate-cost leg currently uses a public wholesale series (September 2021 ALL-IN rates). The supplier’s own cost build-up may differ.</w:t>
      </w:r>
    </w:p>
    <w:p>
      <w:pPr>
        <w:spacing w:after="160"/>
      </w:pPr>
      <w:r>
        <w:rPr>
          <w:rFonts w:ascii="Arial" w:hAnsi="Arial"/>
          <w:b w:val="0"/>
          <w:i w:val="0"/>
          <w:sz w:val="22"/>
        </w:rPr>
        <w:t>• Consumption has been derived from the stated annual EAC of 99,710 kWh. Actual metered consumption, if different, will change the quantum.</w:t>
      </w:r>
    </w:p>
    <w:p>
      <w:pPr>
        <w:spacing w:after="160"/>
      </w:pPr>
      <w:r>
        <w:rPr>
          <w:rFonts w:ascii="Arial" w:hAnsi="Arial"/>
          <w:b w:val="0"/>
          <w:i w:val="0"/>
          <w:sz w:val="22"/>
        </w:rPr>
        <w:t>• Full bill-by-bill data has not yet been examined; the monthly figures are derived from the annual EAC.</w:t>
      </w:r>
    </w:p>
    <w:p>
      <w:pPr>
        <w:spacing w:after="160"/>
      </w:pPr>
      <w:r>
        <w:rPr>
          <w:rFonts w:ascii="Arial" w:hAnsi="Arial"/>
          <w:b w:val="0"/>
          <w:i/>
          <w:sz w:val="22"/>
        </w:rPr>
        <w:t>This valuation is provisional. It must be refreshed once the supplier’s disclosure is received. No numerical rate or commission figure has been invented.</w:t>
      </w:r>
    </w:p>
    <w:p>
      <w:pPr>
        <w:pStyle w:val="Heading1"/>
      </w:pPr>
      <w:r>
        <w:rPr>
          <w:color w:val="1F4E79"/>
        </w:rPr>
        <w:t>11. Basis, limitations and confirmation</w:t>
      </w:r>
    </w:p>
    <w:p>
      <w:pPr>
        <w:pStyle w:val="Heading2"/>
      </w:pPr>
      <w:r>
        <w:rPr>
          <w:color w:val="1F4E79"/>
        </w:rPr>
        <w:t>11.1 Status of this valuation</w:t>
      </w:r>
    </w:p>
    <w:p>
      <w:pPr>
        <w:spacing w:after="160"/>
      </w:pPr>
      <w:r>
        <w:rPr>
          <w:rFonts w:ascii="Arial" w:hAnsi="Arial"/>
          <w:b w:val="0"/>
          <w:i w:val="0"/>
          <w:sz w:val="22"/>
        </w:rPr>
        <w:t>This is a quantum valuation. It is provided solely to assist the instructing solicitor in assessing the claim.</w:t>
      </w:r>
    </w:p>
    <w:p>
      <w:pPr>
        <w:pStyle w:val="Heading2"/>
      </w:pPr>
      <w:r>
        <w:rPr>
          <w:color w:val="1F4E79"/>
        </w:rPr>
        <w:t>11.2 Limitations</w:t>
      </w:r>
    </w:p>
    <w:p>
      <w:pPr>
        <w:spacing w:after="160"/>
      </w:pPr>
      <w:r>
        <w:rPr>
          <w:rFonts w:ascii="Arial" w:hAnsi="Arial"/>
          <w:b w:val="0"/>
          <w:i w:val="0"/>
          <w:sz w:val="22"/>
        </w:rPr>
        <w:t>• The figures are based on the information available at 16 February 2026. They are capable of moving once full disclosure is received.</w:t>
      </w:r>
    </w:p>
    <w:p>
      <w:pPr>
        <w:spacing w:after="160"/>
      </w:pPr>
      <w:r>
        <w:rPr>
          <w:rFonts w:ascii="Arial" w:hAnsi="Arial"/>
          <w:b w:val="0"/>
          <w:i w:val="0"/>
          <w:sz w:val="22"/>
        </w:rPr>
        <w:t>• The author expresses no view on liability.</w:t>
      </w:r>
    </w:p>
    <w:p>
      <w:pPr>
        <w:spacing w:after="160"/>
      </w:pPr>
      <w:r>
        <w:rPr>
          <w:rFonts w:ascii="Arial" w:hAnsi="Arial"/>
          <w:b w:val="0"/>
          <w:i w:val="0"/>
          <w:sz w:val="22"/>
        </w:rPr>
        <w:t>• The legal foundation at Section 3 is context only; it is not a legal opinion.</w:t>
      </w:r>
    </w:p>
    <w:p>
      <w:pPr>
        <w:pStyle w:val="Heading2"/>
      </w:pPr>
      <w:r>
        <w:rPr>
          <w:color w:val="1F4E79"/>
        </w:rPr>
        <w:t>11.3 Confirmation</w:t>
      </w:r>
    </w:p>
    <w:p>
      <w:pPr>
        <w:spacing w:after="160"/>
      </w:pPr>
      <w:r>
        <w:rPr>
          <w:rFonts w:ascii="Arial" w:hAnsi="Arial"/>
          <w:b w:val="0"/>
          <w:i w:val="0"/>
          <w:sz w:val="22"/>
        </w:rPr>
        <w:t>The author confirms that this valuation represents an honest professional assessment of quantum based on the information available at the date of valuation, and that the instructing solicitor will be advised if anything later comes to attention that materially changes the figures.</w:t>
      </w:r>
    </w:p>
    <w:p/>
    <w:p>
      <w:pPr>
        <w:spacing w:after="160"/>
      </w:pPr>
      <w:r>
        <w:rPr>
          <w:rFonts w:ascii="Arial" w:hAnsi="Arial"/>
          <w:b w:val="0"/>
          <w:i w:val="0"/>
          <w:sz w:val="22"/>
        </w:rPr>
        <w:t>Signature: _______________________________     Date: _______________</w:t>
      </w:r>
    </w:p>
    <w:p>
      <w:pPr>
        <w:spacing w:after="160"/>
      </w:pPr>
      <w:r>
        <w:rPr>
          <w:rFonts w:ascii="Arial" w:hAnsi="Arial"/>
          <w:b w:val="0"/>
          <w:i w:val="0"/>
          <w:sz w:val="22"/>
        </w:rPr>
        <w:t>[NAME]</w:t>
      </w:r>
    </w:p>
    <w:p>
      <w:r>
        <w:br w:type="page"/>
      </w:r>
    </w:p>
    <w:p>
      <w:pPr>
        <w:pStyle w:val="Heading1"/>
      </w:pPr>
      <w:r>
        <w:rPr>
          <w:color w:val="1F4E79"/>
        </w:rPr>
        <w:t>Appendices</w:t>
      </w:r>
    </w:p>
    <w:p>
      <w:pPr>
        <w:spacing w:after="160"/>
      </w:pPr>
      <w:r>
        <w:rPr>
          <w:rFonts w:ascii="Arial" w:hAnsi="Arial"/>
          <w:b w:val="0"/>
          <w:i w:val="0"/>
          <w:sz w:val="22"/>
        </w:rPr>
        <w:t>Appendix A — Bill-by-bill calculation tables (to be completed from the full invoice set).</w:t>
      </w:r>
    </w:p>
    <w:p>
      <w:pPr>
        <w:spacing w:after="160"/>
      </w:pPr>
      <w:r>
        <w:rPr>
          <w:rFonts w:ascii="Arial" w:hAnsi="Arial"/>
          <w:b w:val="0"/>
          <w:i w:val="0"/>
          <w:sz w:val="22"/>
        </w:rPr>
        <w:t>Appendix B — Wholesale price series (September 2021 Electricity ALL-IN day rate 7.50 p/kWh; night adjustment 0.85; weighted 7.275 p/kWh).</w:t>
      </w:r>
    </w:p>
    <w:p>
      <w:pPr>
        <w:spacing w:after="160"/>
      </w:pPr>
      <w:r>
        <w:rPr>
          <w:rFonts w:ascii="Arial" w:hAnsi="Arial"/>
          <w:b w:val="0"/>
          <w:i w:val="0"/>
          <w:sz w:val="22"/>
        </w:rPr>
        <w:t>Appendix C — Interest workings (month-by-month SONIA + 4 % during contract; 8 % statutory post-contract).</w:t>
      </w:r>
    </w:p>
    <w:p>
      <w:pPr>
        <w:spacing w:after="160"/>
      </w:pPr>
      <w:r>
        <w:rPr>
          <w:rFonts w:ascii="Arial" w:hAnsi="Arial"/>
          <w:b w:val="0"/>
          <w:i w:val="0"/>
          <w:sz w:val="22"/>
        </w:rPr>
        <w:t>Appendix D — Authorities cited: Wood v Commercial First Business Ltd [2021] EWCA Civ 471; Bristol &amp; West Building Society v Mothew [1998] Ch 1; Hopcraft / Johnson / Wrench [2025] UKSC 33; Expert Tooling v Engie [2025] EWCA Civ 292.</w:t>
      </w:r>
    </w:p>
    <w:p>
      <w:pPr>
        <w:spacing w:after="160"/>
      </w:pPr>
      <w:r>
        <w:rPr>
          <w:rFonts w:ascii="Arial" w:hAnsi="Arial"/>
          <w:b w:val="0"/>
          <w:i w:val="0"/>
          <w:sz w:val="22"/>
        </w:rPr>
        <w:t>Appendix E — Glossary.</w:t>
      </w:r>
    </w:p>
    <w:sectPr w:rsidR="00FC693F" w:rsidRPr="0006063C" w:rsidSect="00034616">
      <w:headerReference w:type="default" r:id="rId9"/>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left"/>
    </w:pPr>
    <w:r/>
    <w:r>
      <w:drawing>
        <wp:inline xmlns:a="http://schemas.openxmlformats.org/drawingml/2006/main" xmlns:pic="http://schemas.openxmlformats.org/drawingml/2006/picture">
          <wp:extent cx="335101" cy="502920"/>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335101" cy="502920"/>
                  </a:xfrm>
                  <a:prstGeom prst="rect"/>
                </pic:spPr>
              </pic:pic>
            </a:graphicData>
          </a:graphic>
        </wp:inline>
      </w:drawing>
    </w:r>
    <w:r>
      <w:rPr>
        <w:rFonts w:ascii="Calibri" w:hAnsi="Calibri" w:eastAsia="Calibri"/>
        <w:b/>
        <w:color w:val="7A1F2B"/>
        <w:sz w:val="18"/>
      </w:rPr>
      <w:t xml:space="preserve">    CRIMSON HORSE</w:t>
    </w:r>
  </w:p>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