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24"/>
        </w:rPr>
        <w:t>CRIMSON HORSE</w:t>
      </w:r>
    </w:p>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[CASE REF – to be completed]</w:t>
            </w:r>
          </w:p>
        </w:tc>
      </w:tr>
      <w:tr>
        <w:tc>
          <w:tcPr>
            <w:tcW w:type="dxa" w:w="4703"/>
          </w:tcPr>
          <w:p>
            <w:r>
              <w:rPr>
                <w:rFonts w:ascii="Arial" w:hAnsi="Arial"/>
                <w:sz w:val="20"/>
              </w:rPr>
              <w:t>Claimant</w:t>
            </w:r>
          </w:p>
        </w:tc>
        <w:tc>
          <w:tcPr>
            <w:tcW w:type="dxa" w:w="4703"/>
          </w:tcPr>
          <w:p>
            <w:r>
              <w:rPr>
                <w:rFonts w:ascii="Arial" w:hAnsi="Arial"/>
                <w:sz w:val="20"/>
              </w:rPr>
              <w:t>[CLAIMANT NAME] — company no. [NUMBER]</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[EXPERT / ANALYST 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[DD MONTH YYYY]</w:t>
            </w:r>
          </w:p>
        </w:tc>
      </w:tr>
      <w:tr>
        <w:tc>
          <w:tcPr>
            <w:tcW w:type="dxa" w:w="4703"/>
          </w:tcPr>
          <w:p>
            <w:r>
              <w:rPr>
                <w:rFonts w:ascii="Arial" w:hAnsi="Arial"/>
                <w:sz w:val="20"/>
              </w:rPr>
              <w:t>Case status</w:t>
            </w:r>
          </w:p>
        </w:tc>
        <w:tc>
          <w:tcPr>
            <w:tcW w:type="dxa" w:w="4703"/>
          </w:tcPr>
          <w:p>
            <w:r>
              <w:rPr>
                <w:rFonts w:ascii="Arial" w:hAnsi="Arial"/>
                <w:sz w:val="20"/>
              </w:rPr>
              <w:t>Triage / Awaiting disclosure / Ready for letter before action</w:t>
            </w:r>
          </w:p>
        </w:tc>
      </w:tr>
      <w:tr>
        <w:tc>
          <w:tcPr>
            <w:tcW w:type="dxa" w:w="4703"/>
          </w:tcPr>
          <w:p>
            <w:r>
              <w:rPr>
                <w:rFonts w:ascii="Arial" w:hAnsi="Arial"/>
                <w:sz w:val="20"/>
              </w:rPr>
              <w:t>Nature of document</w:t>
            </w:r>
          </w:p>
        </w:tc>
        <w:tc>
          <w:tcPr>
            <w:tcW w:type="dxa" w:w="4703"/>
          </w:tcPr>
          <w:p>
            <w:r>
              <w:rPr>
                <w:rFonts w:ascii="Arial" w:hAnsi="Arial"/>
                <w:sz w:val="20"/>
              </w:rPr>
              <w:t>Quantum valuation (not a CPR Part 35 report)</w:t>
            </w:r>
          </w:p>
        </w:tc>
      </w:tr>
    </w:tbl>
    <w:p/>
    <w:p>
      <w:pPr>
        <w:spacing w:after="160"/>
      </w:pPr>
      <w:r>
        <w:rPr>
          <w:rFonts w:ascii="Arial" w:hAnsi="Arial"/>
          <w:b w:val="0"/>
          <w:i/>
          <w:sz w:val="22"/>
        </w:rPr>
        <w:t>About this valuation</w:t>
        <w:br/>
        <w:t>This document provides a clear quantum assessment of the Business Energy Claim. It follows the structure of the firm’s Definitive BEC Quantum Report blueprint (Crimson Horse). It opens with the hidden-commission range, moves through the rescission quantum, and resolves interest in a dedicated section. It is written in plain English. Every legal assertion is supported by the authorities and opinions held by the firm. No commission rate, fair rate, wholesale series or uplift is invented. Where a figure depends on data that has not yet been disclosed, the valuation says so clearly and states that a formal request must be made to the supplier or lead provider.</w:t>
      </w:r>
    </w:p>
    <w:p>
      <w:pPr>
        <w:spacing w:after="160"/>
      </w:pPr>
      <w:r>
        <w:rPr>
          <w:rFonts w:ascii="Arial" w:hAnsi="Arial"/>
          <w:b w:val="0"/>
          <w:i/>
          <w:sz w:val="22"/>
        </w:rPr>
        <w:t>This is a quantum valuation. It is not a report under CPR Part 35. It is prepared to assist the instructing solicitor in assessing the claim. If a formal Part 35 expert report is later required, it can be commissioned separately.</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1. Basis of this valuation</w:t>
      </w:r>
    </w:p>
    <w:p>
      <w:pPr>
        <w:pStyle w:val="Heading2"/>
      </w:pPr>
      <w:r>
        <w:rPr>
          <w:color w:val="1F4E79"/>
        </w:rPr>
        <w:t>1.1 Nature of the document</w:t>
      </w:r>
    </w:p>
    <w:p>
      <w:pPr>
        <w:spacing w:after="160"/>
      </w:pPr>
      <w:r>
        <w:rPr>
          <w:rFonts w:ascii="Arial" w:hAnsi="Arial"/>
          <w:b w:val="0"/>
          <w:i w:val="0"/>
          <w:sz w:val="22"/>
        </w:rPr>
        <w:t>This is a quantum valuation. It is not a CPR Part 35 report and it carries no statement of truth in the Part 35 form. Its purpose is to give the instructing solicitor a reasoned, auditable figure with which to assess the claim. If the matter later requires formal expert evidence, a Part 35-compliant report can be prepared on fresh instructions.</w:t>
      </w:r>
    </w:p>
    <w:p>
      <w:pPr>
        <w:pStyle w:val="Heading2"/>
      </w:pPr>
      <w:r>
        <w:rPr>
          <w:color w:val="1F4E79"/>
        </w:rPr>
        <w:t>1.2 Scope</w:t>
      </w:r>
    </w:p>
    <w:p>
      <w:pPr>
        <w:spacing w:after="160"/>
      </w:pPr>
      <w:r>
        <w:rPr>
          <w:rFonts w:ascii="Arial" w:hAnsi="Arial"/>
          <w:b w:val="0"/>
          <w:i w:val="0"/>
          <w:sz w:val="22"/>
        </w:rPr>
        <w:t>The valuation assesses the quantum of the claimant’s Business Energy Claim against the supplier arising from an undisclosed (or insufficiently disclosed) commission paid by the supplier to the broker. It does not decide liability. The legal context in Section 3 is included only to explain the basis on which the figures are calculated. The materials relied on will be listed at Appendix A once extraction is complete. Assumptions made in the absence of disclosure are listed at Section 10.</w:t>
      </w:r>
    </w:p>
    <w:p>
      <w:pPr>
        <w:pStyle w:val="Heading1"/>
      </w:pPr>
      <w:r>
        <w:rPr>
          <w:color w:val="1F4E79"/>
        </w:rPr>
        <w:t>2. Case framing — parties, contracts and meters</w:t>
      </w:r>
    </w:p>
    <w:p>
      <w:pPr>
        <w:spacing w:after="160"/>
      </w:pPr>
      <w:r>
        <w:rPr>
          <w:rFonts w:ascii="Arial" w:hAnsi="Arial"/>
          <w:b w:val="0"/>
          <w:i w:val="0"/>
          <w:sz w:val="22"/>
        </w:rPr>
        <w:t>This section records the data that the whole calculation binds to. Every figure later in the valuation traces back to a value stated here. At present the fields below are placeholders. They will be populated from the Data Bridge once the extraction agent has processed the source documents.</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[Trading style], company no. [number]; nature of business [ ]</w:t>
            </w:r>
          </w:p>
        </w:tc>
      </w:tr>
      <w:tr>
        <w:tc>
          <w:tcPr>
            <w:tcW w:type="dxa" w:w="4703"/>
          </w:tcPr>
          <w:p>
            <w:r>
              <w:t>Broker</w:t>
            </w:r>
          </w:p>
        </w:tc>
        <w:tc>
          <w:tcPr>
            <w:tcW w:type="dxa" w:w="4703"/>
          </w:tcPr>
          <w:p>
            <w:r>
              <w:t>[Broker name]; aggregator relationship [if any]</w:t>
            </w:r>
          </w:p>
        </w:tc>
      </w:tr>
      <w:tr>
        <w:tc>
          <w:tcPr>
            <w:tcW w:type="dxa" w:w="4703"/>
          </w:tcPr>
          <w:p>
            <w:r>
              <w:t>Supplier</w:t>
            </w:r>
          </w:p>
        </w:tc>
        <w:tc>
          <w:tcPr>
            <w:tcW w:type="dxa" w:w="4703"/>
          </w:tcPr>
          <w:p>
            <w:r>
              <w:t>[Supplier name]; Ofgem-licensed [Yes / No]</w:t>
            </w:r>
          </w:p>
        </w:tc>
      </w:tr>
    </w:tbl>
    <w:p>
      <w:pPr>
        <w:pStyle w:val="Heading2"/>
      </w:pPr>
      <w:r>
        <w:rPr>
          <w:color w:val="1F4E79"/>
        </w:rPr>
        <w:t>2.2 Contracts</w:t>
      </w:r>
    </w:p>
    <w:p>
      <w:pPr>
        <w:spacing w:after="160"/>
      </w:pPr>
      <w:r>
        <w:rPr>
          <w:rFonts w:ascii="Arial" w:hAnsi="Arial"/>
          <w:b w:val="0"/>
          <w:i w:val="0"/>
          <w:sz w:val="22"/>
        </w:rPr>
        <w:t>Contract details (signed date, start, end, rate structure, standing charge, utility type) will be taken from the extracted Contracts_Import sheet. No rates are assumed.</w:t>
      </w:r>
    </w:p>
    <w:p>
      <w:pPr>
        <w:pStyle w:val="Heading2"/>
      </w:pPr>
      <w:r>
        <w:rPr>
          <w:color w:val="1F4E79"/>
        </w:rPr>
        <w:t>2.3 Meters, rates and consumption</w:t>
      </w:r>
    </w:p>
    <w:p>
      <w:pPr>
        <w:spacing w:after="160"/>
      </w:pPr>
      <w:r>
        <w:rPr>
          <w:rFonts w:ascii="Arial" w:hAnsi="Arial"/>
          <w:b w:val="0"/>
          <w:i w:val="0"/>
          <w:sz w:val="22"/>
        </w:rPr>
        <w:t>MPAN/MPRN, supply address, rate schedule and consumption figures will be taken from the extracted data. Where day/night or multi-rate splits are not present on the bills, that fact will be recorded and any necessary assumption will be stated explicitly at Section 10.</w:t>
      </w:r>
    </w:p>
    <w:p>
      <w:pPr>
        <w:spacing w:after="160"/>
      </w:pPr>
      <w:r>
        <w:rPr>
          <w:rFonts w:ascii="Arial" w:hAnsi="Arial"/>
          <w:b w:val="0"/>
          <w:i/>
          <w:sz w:val="22"/>
        </w:rPr>
        <w:t>Disclosure position — the hinge</w:t>
        <w:br/>
        <w:t>Record whether the fact of commission, and the amount of commission, were disclosed — and the amount where it was. This is the hinge between the rescission case (Section 5) and the fall-back case (Section 6). State it plainly once the documents have been examined: [the fact of commission was / was not disclosed; the amount was / was not disclosed; where disclosed, the amount was £___].</w:t>
      </w:r>
    </w:p>
    <w:p>
      <w:pPr>
        <w:pStyle w:val="Heading1"/>
      </w:pPr>
      <w:r>
        <w:rPr>
          <w:color w:val="1F4E79"/>
        </w:rPr>
        <w:t>3. Legal foundation (context for the figures)</w:t>
      </w:r>
    </w:p>
    <w:p>
      <w:pPr>
        <w:spacing w:after="160"/>
      </w:pPr>
      <w:r>
        <w:rPr>
          <w:rFonts w:ascii="Arial" w:hAnsi="Arial"/>
          <w:b w:val="0"/>
          <w:i w:val="0"/>
          <w:sz w:val="22"/>
        </w:rPr>
        <w:t>The claim is grounded in the principle that an undisclosed commission paid by the supplier to the broker is a bribe. The claimant is entitled to rescission of the contract and restitution, subject to counter-restitution of the value it actually received, together with interest.</w:t>
      </w:r>
    </w:p>
    <w:p>
      <w:pPr>
        <w:spacing w:after="160"/>
      </w:pPr>
      <w:r>
        <w:rPr>
          <w:rFonts w:ascii="Arial" w:hAnsi="Arial"/>
          <w:b w:val="0"/>
          <w:i w:val="0"/>
          <w:sz w:val="22"/>
        </w:rPr>
        <w:t>The leading modern authority is Wood v Commercial First Business Ltd [2021] EWCA Civ 471. The fiduciary analysis is reinforced by Bristol &amp; West Building Society v Mothew [1998] Ch 1 (single-minded loyalty; no unauthorised profit).</w:t>
      </w:r>
    </w:p>
    <w:p>
      <w:pPr>
        <w:spacing w:after="160"/>
      </w:pPr>
      <w:r>
        <w:rPr>
          <w:rFonts w:ascii="Arial" w:hAnsi="Arial"/>
          <w:b w:val="0"/>
          <w:i w:val="0"/>
          <w:sz w:val="22"/>
        </w:rPr>
        <w:t>The Supreme Court decision in Hopcraft v Close Brothers Ltd; Johnson v FirstRand Bank Ltd; Wrench v FirstRand Bank Ltd [2025] UKSC 33 (1 August 2025) has effectively closed off the half-secret defence. A valuation dated after 1 August 2025 that is silent on Johnson should not be issued. This valuation states how Johnson bears on the disclosure position recorded at Section 2.</w:t>
      </w:r>
    </w:p>
    <w:p>
      <w:pPr>
        <w:spacing w:after="160"/>
      </w:pPr>
      <w:r>
        <w:rPr>
          <w:rFonts w:ascii="Arial" w:hAnsi="Arial"/>
          <w:b w:val="0"/>
          <w:i w:val="0"/>
          <w:sz w:val="22"/>
        </w:rPr>
        <w:t>The Court of Appeal decision in Expert Tooling and Automation Ltd v Engie Power Ltd [2025] EWCA Civ 292 confirms that a generic notice which merely puts the customer on enquiry is not enough. Fully informed consent requires disclosure of the material facts (amount, that commission was added to the unit price, impact on contract length, broker’s discretion, and that commission was paid up-front).</w:t>
      </w:r>
    </w:p>
    <w:p>
      <w:pPr>
        <w:spacing w:after="160"/>
      </w:pPr>
      <w:r>
        <w:rPr>
          <w:rFonts w:ascii="Arial" w:hAnsi="Arial"/>
          <w:b w:val="0"/>
          <w:i w:val="0"/>
          <w:sz w:val="22"/>
        </w:rPr>
        <w:t>Because the claim is founded in fraud (the secret commission is a bribe), a compounding interest basis is properly within the menu of options for the commission-only claim. This characterisation is supported by the Supreme Court’s analysis in Hopcraft / Johnson.</w:t>
      </w:r>
    </w:p>
    <w:p>
      <w:pPr>
        <w:pStyle w:val="Heading1"/>
      </w:pPr>
      <w:r>
        <w:rPr>
          <w:color w:val="1F4E79"/>
        </w:rPr>
        <w:t>4. The hidden commission — establishing the range</w:t>
      </w:r>
    </w:p>
    <w:p>
      <w:pPr>
        <w:spacing w:after="160"/>
      </w:pPr>
      <w:r>
        <w:rPr>
          <w:rFonts w:ascii="Arial" w:hAnsi="Arial"/>
          <w:b w:val="0"/>
          <w:i w:val="0"/>
          <w:sz w:val="22"/>
        </w:rPr>
        <w:t>The quantitative analysis opens here. Rather than commit to a single point estimate, the hidden commission is presented as a range — Low, Central and High — so the reader sees the plausible envelope before any rescission arithmetic.</w:t>
      </w:r>
    </w:p>
    <w:p>
      <w:pPr>
        <w:spacing w:after="160"/>
      </w:pPr>
      <w:r>
        <w:rPr>
          <w:rFonts w:ascii="Arial" w:hAnsi="Arial"/>
          <w:b w:val="0"/>
          <w:i w:val="0"/>
          <w:sz w:val="22"/>
        </w:rPr>
        <w:t>The range is built on whichever of the following is available, in order of preference:</w:t>
      </w:r>
    </w:p>
    <w:p>
      <w:pPr>
        <w:spacing w:after="160"/>
      </w:pPr>
      <w:r>
        <w:rPr>
          <w:rFonts w:ascii="Arial" w:hAnsi="Arial"/>
          <w:b w:val="0"/>
          <w:i w:val="0"/>
          <w:sz w:val="22"/>
        </w:rPr>
        <w:t>1. Disclosed amount — where the supplier or broker has disclosed the commission, use it directly; the range collapses to a point.</w:t>
      </w:r>
    </w:p>
    <w:p>
      <w:pPr>
        <w:spacing w:after="160"/>
      </w:pPr>
      <w:r>
        <w:rPr>
          <w:rFonts w:ascii="Arial" w:hAnsi="Arial"/>
          <w:b w:val="0"/>
          <w:i w:val="0"/>
          <w:sz w:val="22"/>
        </w:rPr>
        <w:t>2. Broker uplift per kWh — the commission embedded in the unit rate, expressed in pence per kWh and multiplied by metered consumption, but only where that uplift can be evidenced.</w:t>
      </w:r>
    </w:p>
    <w:p>
      <w:pPr>
        <w:spacing w:after="160"/>
      </w:pPr>
      <w:r>
        <w:rPr>
          <w:rFonts w:ascii="Arial" w:hAnsi="Arial"/>
          <w:b w:val="0"/>
          <w:i w:val="0"/>
          <w:sz w:val="22"/>
        </w:rPr>
        <w:t>3. Industry evidence — only if contemporaneous evidence of typical uplifts for the relevant period and market segment is available and can be cited. No figure is invented.</w:t>
      </w:r>
    </w:p>
    <w:p>
      <w:pPr>
        <w:spacing w:after="160"/>
      </w:pPr>
      <w:r>
        <w:rPr>
          <w:rFonts w:ascii="Arial" w:hAnsi="Arial"/>
          <w:b w:val="0"/>
          <w:i w:val="0"/>
          <w:sz w:val="22"/>
        </w:rPr>
        <w:t>Strict rule applied in this valuation: if none of the above sources supplies an evidential figure, the valuation states that the commission amount is not yet known and that a formal request must be made to the supplier (or the lead provider must obtain it). No percentage or pence-per-kWh figure is inserted by guesswork.</w:t>
      </w:r>
    </w:p>
    <w:p>
      <w:pPr>
        <w:pStyle w:val="Heading1"/>
      </w:pPr>
      <w:r>
        <w:rPr>
          <w:color w:val="1F4E79"/>
        </w:rPr>
        <w:t>5. Primary quantum — rescission and counter-restitution</w:t>
      </w:r>
    </w:p>
    <w:p>
      <w:pPr>
        <w:spacing w:after="160"/>
      </w:pPr>
      <w:r>
        <w:rPr>
          <w:rFonts w:ascii="Arial" w:hAnsi="Arial"/>
          <w:b w:val="0"/>
          <w:i w:val="0"/>
          <w:sz w:val="22"/>
        </w:rPr>
        <w:t>This is the headline measure. On rescission the claimant gives back the value of what it received and recovers what it paid. Following Wood, the measure is:</w:t>
      </w:r>
    </w:p>
    <w:p>
      <w:pPr>
        <w:spacing w:after="160"/>
      </w:pPr>
      <w:r>
        <w:rPr>
          <w:rFonts w:ascii="Arial" w:hAnsi="Arial"/>
          <w:b/>
          <w:i w:val="0"/>
          <w:sz w:val="22"/>
        </w:rPr>
        <w:t>Rescission quantum = (A + B) − (C + D)</w:t>
      </w:r>
    </w:p>
    <w:p>
      <w:pPr>
        <w:spacing w:after="160"/>
      </w:pPr>
      <w:r>
        <w:rPr>
          <w:rFonts w:ascii="Arial" w:hAnsi="Arial"/>
          <w:b w:val="0"/>
          <w:i w:val="0"/>
          <w:sz w:val="22"/>
        </w:rPr>
        <w:t>A — all monies paid by the claimant under the contract (contractual rate × consumption + standing charges).</w:t>
      </w:r>
    </w:p>
    <w:p>
      <w:pPr>
        <w:spacing w:after="160"/>
      </w:pPr>
      <w:r>
        <w:rPr>
          <w:rFonts w:ascii="Arial" w:hAnsi="Arial"/>
          <w:b w:val="0"/>
          <w:i w:val="0"/>
          <w:sz w:val="22"/>
        </w:rPr>
        <w:t>B — interest on A (calculated at Section 7.1).</w:t>
      </w:r>
    </w:p>
    <w:p>
      <w:pPr>
        <w:spacing w:after="160"/>
      </w:pPr>
      <w:r>
        <w:rPr>
          <w:rFonts w:ascii="Arial" w:hAnsi="Arial"/>
          <w:b w:val="0"/>
          <w:i w:val="0"/>
          <w:sz w:val="22"/>
        </w:rPr>
        <w:t>C — the supplier’s legitimate cost of the energy actually supplied (the chosen wholesale benchmark with the chosen overhead treatment). This is the counter-restitution credit.</w:t>
      </w:r>
    </w:p>
    <w:p>
      <w:pPr>
        <w:spacing w:after="160"/>
      </w:pPr>
      <w:r>
        <w:rPr>
          <w:rFonts w:ascii="Arial" w:hAnsi="Arial"/>
          <w:b w:val="0"/>
          <w:i w:val="0"/>
          <w:sz w:val="22"/>
        </w:rPr>
        <w:t>D — interest on C (calculated at Section 7.1).</w:t>
      </w:r>
    </w:p>
    <w:p>
      <w:pPr>
        <w:spacing w:after="160"/>
      </w:pPr>
      <w:r>
        <w:rPr>
          <w:rFonts w:ascii="Arial" w:hAnsi="Arial"/>
          <w:b w:val="0"/>
          <w:i w:val="0"/>
          <w:sz w:val="22"/>
        </w:rPr>
        <w:t>The wholesale benchmark and overhead treatment must be stated explicitly and must be evidential. They are the single most consequential choices in the valuation. Until the supplier’s cost data (or a verified public series for the contract period) is available, the legitimate-cost leg remains pending and the valuation will say so.</w:t>
      </w:r>
    </w:p>
    <w:p>
      <w:pPr>
        <w:pStyle w:val="Heading1"/>
      </w:pPr>
      <w:r>
        <w:rPr>
          <w:color w:val="1F4E79"/>
        </w:rPr>
        <w:t>6. Fall-back quantum — the secret-commission-only claim</w:t>
      </w:r>
    </w:p>
    <w:p>
      <w:pPr>
        <w:spacing w:after="160"/>
      </w:pPr>
      <w:r>
        <w:rPr>
          <w:rFonts w:ascii="Arial" w:hAnsi="Arial"/>
          <w:b w:val="0"/>
          <w:i w:val="0"/>
          <w:sz w:val="22"/>
        </w:rPr>
        <w:t>Where rescission is unavailable or resisted, the claim falls back to the value of the secret commission itself. The principal is simply the hidden-commission figure from Section 4 (once that figure is known). Interest options are applied at Section 7.2. Experience from comparable cases is that the fall-back is materially less valuable than rescission, so it should be framed as a floor, not the target.</w:t>
      </w:r>
    </w:p>
    <w:p>
      <w:pPr>
        <w:pStyle w:val="Heading1"/>
      </w:pPr>
      <w:r>
        <w:rPr>
          <w:color w:val="1F4E79"/>
        </w:rPr>
        <w:t>7. Interest</w:t>
      </w:r>
    </w:p>
    <w:p>
      <w:pPr>
        <w:spacing w:after="160"/>
      </w:pPr>
      <w:r>
        <w:rPr>
          <w:rFonts w:ascii="Arial" w:hAnsi="Arial"/>
          <w:b w:val="0"/>
          <w:i w:val="0"/>
          <w:sz w:val="22"/>
        </w:rPr>
        <w:t>Interest is given its own section so the two distinct questions are not conflated.</w:t>
      </w:r>
    </w:p>
    <w:p>
      <w:pPr>
        <w:pStyle w:val="Heading2"/>
      </w:pPr>
      <w:r>
        <w:rPr>
          <w:color w:val="1F4E79"/>
        </w:rPr>
        <w:t>7.1 Interest on the rescission amount — the Wood method</w:t>
      </w:r>
    </w:p>
    <w:p>
      <w:pPr>
        <w:spacing w:after="160"/>
      </w:pPr>
      <w:r>
        <w:rPr>
          <w:rFonts w:ascii="Arial" w:hAnsi="Arial"/>
          <w:b w:val="0"/>
          <w:i w:val="0"/>
          <w:sz w:val="22"/>
        </w:rPr>
        <w:t>In Wood the court applied asymmetric simple interest: a higher rate on the claimant’s payments and a lower rate on the supplier’s cost leg. Translated to the BEC context that is typically expressed as 4 % on the claimant’s payments and 2 % on the supplier’s legitimate cost, simple, running from the relevant start date to the assessment date. Post-2021 the reference rate is SONIA rather than LIBOR; the valuation must state the rate basis used. The precise rates and day-count will be set out in Appendix C once the periods are known.</w:t>
      </w:r>
    </w:p>
    <w:p>
      <w:pPr>
        <w:pStyle w:val="Heading2"/>
      </w:pPr>
      <w:r>
        <w:rPr>
          <w:color w:val="1F4E79"/>
        </w:rPr>
        <w:t>7.2 Interest on the hidden-commission range — the option set</w:t>
      </w:r>
    </w:p>
    <w:p>
      <w:pPr>
        <w:spacing w:after="160"/>
      </w:pPr>
      <w:r>
        <w:rPr>
          <w:rFonts w:ascii="Arial" w:hAnsi="Arial"/>
          <w:b w:val="0"/>
          <w:i w:val="0"/>
          <w:sz w:val="22"/>
        </w:rPr>
        <w:t>Because the claim is founded in fraud, a choice of bases is offered rather than a single asserted rate:</w:t>
      </w:r>
    </w:p>
    <w:p>
      <w:pPr>
        <w:spacing w:after="160"/>
      </w:pPr>
      <w:r>
        <w:rPr>
          <w:rFonts w:ascii="Arial" w:hAnsi="Arial"/>
          <w:b w:val="0"/>
          <w:i w:val="0"/>
          <w:sz w:val="22"/>
        </w:rPr>
        <w:t>Option 1 — 2 % simple (conservative floor, consistent with the supplier-leg rate in Wood).</w:t>
      </w:r>
    </w:p>
    <w:p>
      <w:pPr>
        <w:spacing w:after="160"/>
      </w:pPr>
      <w:r>
        <w:rPr>
          <w:rFonts w:ascii="Arial" w:hAnsi="Arial"/>
          <w:b w:val="0"/>
          <w:i w:val="0"/>
          <w:sz w:val="22"/>
        </w:rPr>
        <w:t>Option 2 — 4 % simple (claimant-leg rate in Wood).</w:t>
      </w:r>
    </w:p>
    <w:p>
      <w:pPr>
        <w:spacing w:after="160"/>
      </w:pPr>
      <w:r>
        <w:rPr>
          <w:rFonts w:ascii="Arial" w:hAnsi="Arial"/>
          <w:b w:val="0"/>
          <w:i w:val="0"/>
          <w:sz w:val="22"/>
        </w:rPr>
        <w:t>Option 3 — 8 % simple (higher compensatory rate, in line with the Judgments Act rate).</w:t>
      </w:r>
    </w:p>
    <w:p>
      <w:pPr>
        <w:spacing w:after="160"/>
      </w:pPr>
      <w:r>
        <w:rPr>
          <w:rFonts w:ascii="Arial" w:hAnsi="Arial"/>
          <w:b w:val="0"/>
          <w:i w:val="0"/>
          <w:sz w:val="22"/>
        </w:rPr>
        <w:t>Option 4 — 4 % above SONIA, compounded (the fraud measure — the fraudster should not retain the use-value of the money).</w:t>
      </w:r>
    </w:p>
    <w:p>
      <w:pPr>
        <w:spacing w:after="160"/>
      </w:pPr>
      <w:r>
        <w:rPr>
          <w:rFonts w:ascii="Arial" w:hAnsi="Arial"/>
          <w:b w:val="0"/>
          <w:i w:val="0"/>
          <w:sz w:val="22"/>
        </w:rPr>
        <w:t>The valuation presents the figures for each option once the principal commission amount is known. No interest calculation is performed on an invented principal.</w:t>
      </w:r>
    </w:p>
    <w:p>
      <w:pPr>
        <w:pStyle w:val="Heading1"/>
      </w:pPr>
      <w:r>
        <w:rPr>
          <w:color w:val="1F4E79"/>
        </w:rPr>
        <w:t>8. Quantum summary — headline figures</w:t>
      </w:r>
    </w:p>
    <w:p>
      <w:pPr>
        <w:spacing w:after="160"/>
      </w:pPr>
      <w:r>
        <w:rPr>
          <w:rFonts w:ascii="Arial" w:hAnsi="Arial"/>
          <w:b w:val="0"/>
          <w:i w:val="0"/>
          <w:sz w:val="22"/>
        </w:rPr>
        <w:t>The bases are brought together so the reader sees the spread immediately. Rescission leads as the primary measure; the commission-only rows are the fall-back floor. Until evidential rates and consumption figures are available, the numerical cells remain blank and the valuation states that the figures are pending disclosure.</w:t>
      </w:r>
    </w:p>
    <w:p>
      <w:pPr>
        <w:pStyle w:val="Heading1"/>
      </w:pPr>
      <w:r>
        <w:rPr>
          <w:color w:val="1F4E79"/>
        </w:rPr>
        <w:t>9. Sensitivity analysis</w:t>
      </w:r>
    </w:p>
    <w:p>
      <w:pPr>
        <w:spacing w:after="160"/>
      </w:pPr>
      <w:r>
        <w:rPr>
          <w:rFonts w:ascii="Arial" w:hAnsi="Arial"/>
          <w:b w:val="0"/>
          <w:i w:val="0"/>
          <w:sz w:val="22"/>
        </w:rPr>
        <w:t>This section shows what moves the number. At a minimum the valuation will vary: calculation lens (to date of report vs to contract end); wholesale benchmark; overhead treatment; and interest option. A short table will be completed once the base figures exist.</w:t>
      </w:r>
    </w:p>
    <w:p>
      <w:pPr>
        <w:pStyle w:val="Heading1"/>
      </w:pPr>
      <w:r>
        <w:rPr>
          <w:color w:val="1F4E79"/>
        </w:rPr>
        <w:t>10. Assumptions and caveats</w:t>
      </w:r>
    </w:p>
    <w:p>
      <w:pPr>
        <w:spacing w:after="160"/>
      </w:pPr>
      <w:r>
        <w:rPr>
          <w:rFonts w:ascii="Arial" w:hAnsi="Arial"/>
          <w:b w:val="0"/>
          <w:i w:val="0"/>
          <w:sz w:val="22"/>
        </w:rPr>
        <w:t>Listed below is every data point whose absence has forced an assumption, so the figure can be refreshed on disclosure. Each item states the assumption made and the direction in which disclosure would be expected to move the quantum.</w:t>
      </w:r>
    </w:p>
    <w:p>
      <w:pPr>
        <w:spacing w:after="160"/>
      </w:pPr>
      <w:r>
        <w:rPr>
          <w:rFonts w:ascii="Arial" w:hAnsi="Arial"/>
          <w:b w:val="0"/>
          <w:i w:val="0"/>
          <w:sz w:val="22"/>
        </w:rPr>
        <w:t>• The energy contract(s) and all bills as paid — pending full extraction and disclosure.</w:t>
      </w:r>
    </w:p>
    <w:p>
      <w:pPr>
        <w:spacing w:after="160"/>
      </w:pPr>
      <w:r>
        <w:rPr>
          <w:rFonts w:ascii="Arial" w:hAnsi="Arial"/>
          <w:b w:val="0"/>
          <w:i w:val="0"/>
          <w:sz w:val="22"/>
        </w:rPr>
        <w:t>• The supplier’s confirmation of the wholesale rate and underlying costs, and any upfront broker payment — not yet available; a formal request must be made.</w:t>
      </w:r>
    </w:p>
    <w:p>
      <w:pPr>
        <w:spacing w:after="160"/>
      </w:pPr>
      <w:r>
        <w:rPr>
          <w:rFonts w:ascii="Arial" w:hAnsi="Arial"/>
          <w:b w:val="0"/>
          <w:i w:val="0"/>
          <w:sz w:val="22"/>
        </w:rPr>
        <w:t>• The letters of authority (soft and hard) and evidence of customer awareness of commission — to be examined once the documents are processed.</w:t>
      </w:r>
    </w:p>
    <w:p>
      <w:pPr>
        <w:spacing w:after="160"/>
      </w:pPr>
      <w:r>
        <w:rPr>
          <w:rFonts w:ascii="Arial" w:hAnsi="Arial"/>
          <w:b w:val="0"/>
          <w:i w:val="0"/>
          <w:sz w:val="22"/>
        </w:rPr>
        <w:t>• Mixed-rate default splits where day/night usage is not separately disclosed — any such assumption will be flagged.</w:t>
      </w:r>
    </w:p>
    <w:p>
      <w:pPr>
        <w:spacing w:after="160"/>
      </w:pPr>
      <w:r>
        <w:rPr>
          <w:rFonts w:ascii="Arial" w:hAnsi="Arial"/>
          <w:b w:val="0"/>
          <w:i w:val="0"/>
          <w:sz w:val="22"/>
        </w:rPr>
        <w:t>• Any bills reconstructed from estimated annual consumption — clearly flagged as such.</w:t>
      </w:r>
    </w:p>
    <w:p>
      <w:pPr>
        <w:spacing w:after="160"/>
      </w:pPr>
      <w:r>
        <w:rPr>
          <w:rFonts w:ascii="Arial" w:hAnsi="Arial"/>
          <w:b w:val="0"/>
          <w:i/>
          <w:sz w:val="22"/>
        </w:rPr>
        <w:t>Disclosure dependency</w:t>
        <w:br/>
        <w:t>This valuation is currently at the stage indicated on the cover sheet. It is provisional and must be refreshed once the items above are disclosed. The author reserves the right to revise the quantum on receipt of further documents. No numerical rate or commission figure in this valuation has been invented.</w:t>
      </w:r>
    </w:p>
    <w:p>
      <w:pPr>
        <w:pStyle w:val="Heading1"/>
      </w:pPr>
      <w:r>
        <w:rPr>
          <w:color w:val="1F4E79"/>
        </w:rPr>
        <w:t>11. Basis, limitations and confirmation</w:t>
      </w:r>
    </w:p>
    <w:p>
      <w:pPr>
        <w:pStyle w:val="Heading2"/>
      </w:pPr>
      <w:r>
        <w:rPr>
          <w:color w:val="1F4E79"/>
        </w:rPr>
        <w:t>11.1 Status of this valuation</w:t>
      </w:r>
    </w:p>
    <w:p>
      <w:pPr>
        <w:spacing w:after="160"/>
      </w:pPr>
      <w:r>
        <w:rPr>
          <w:rFonts w:ascii="Arial" w:hAnsi="Arial"/>
          <w:b w:val="0"/>
          <w:i w:val="0"/>
          <w:sz w:val="22"/>
        </w:rPr>
        <w:t>This is a quantum valuation. It is not a report under CPR Part 35. It must not be served on a court or relied upon as expert evidence. It is provided solely to assist the instructing solicitor in assessing the claim. Should formal expert evidence later be required, a Part 35-compliant report can be prepared on fresh instructions.</w:t>
      </w:r>
    </w:p>
    <w:p>
      <w:pPr>
        <w:pStyle w:val="Heading2"/>
      </w:pPr>
      <w:r>
        <w:rPr>
          <w:color w:val="1F4E79"/>
        </w:rPr>
        <w:t>11.2 Limitations</w:t>
      </w:r>
    </w:p>
    <w:p>
      <w:pPr>
        <w:spacing w:after="160"/>
      </w:pPr>
      <w:r>
        <w:rPr>
          <w:rFonts w:ascii="Arial" w:hAnsi="Arial"/>
          <w:b w:val="0"/>
          <w:i w:val="0"/>
          <w:sz w:val="22"/>
        </w:rPr>
        <w:t>• This valuation is based only on the documents and information that will be listed at Appendix A. Where information has not been available, assumptions have been made and are recorded at Section 10.</w:t>
      </w:r>
    </w:p>
    <w:p>
      <w:pPr>
        <w:spacing w:after="160"/>
      </w:pPr>
      <w:r>
        <w:rPr>
          <w:rFonts w:ascii="Arial" w:hAnsi="Arial"/>
          <w:b w:val="0"/>
          <w:i w:val="0"/>
          <w:sz w:val="22"/>
        </w:rPr>
        <w:t>• The figures are provisional. They are capable of moving — in either direction — once disclosure is complete, and should be refreshed at that point.</w:t>
      </w:r>
    </w:p>
    <w:p>
      <w:pPr>
        <w:spacing w:after="160"/>
      </w:pPr>
      <w:r>
        <w:rPr>
          <w:rFonts w:ascii="Arial" w:hAnsi="Arial"/>
          <w:b w:val="0"/>
          <w:i w:val="0"/>
          <w:sz w:val="22"/>
        </w:rPr>
        <w:t>• The author has not been instructed on, and expresses no view on, liability. The valuation assumes the claim is established on the basis described at Section 3.</w:t>
      </w:r>
    </w:p>
    <w:p>
      <w:pPr>
        <w:spacing w:after="160"/>
      </w:pPr>
      <w:r>
        <w:rPr>
          <w:rFonts w:ascii="Arial" w:hAnsi="Arial"/>
          <w:b w:val="0"/>
          <w:i w:val="0"/>
          <w:sz w:val="22"/>
        </w:rPr>
        <w:t>• The legal foundation at Section 3 is provided as context only; it is not a legal opinion.</w:t>
      </w:r>
    </w:p>
    <w:p>
      <w:pPr>
        <w:pStyle w:val="Heading2"/>
      </w:pPr>
      <w:r>
        <w:rPr>
          <w:color w:val="1F4E79"/>
        </w:rPr>
        <w:t>11.3 Confirmation</w:t>
      </w:r>
    </w:p>
    <w:p>
      <w:pPr>
        <w:spacing w:after="160"/>
      </w:pPr>
      <w:r>
        <w:rPr>
          <w:rFonts w:ascii="Arial" w:hAnsi="Arial"/>
          <w:b w:val="0"/>
          <w:i w:val="0"/>
          <w:sz w:val="22"/>
        </w:rPr>
        <w:t>The author confirms that this valuation represents an honest professional assessment of quantum, based on the information available at the date of valuation; that the author is suitably qualified to provide it; that there is no conflict of interest of any kind; and that the instructing solicitor will be advised if, after the date of this valuation, anything comes to attention that materially changes the figures.</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  —  prepared by</w:t>
      </w:r>
    </w:p>
    <w:p>
      <w:pPr>
        <w:spacing w:after="160"/>
      </w:pPr>
      <w:r>
        <w:rPr>
          <w:rFonts w:ascii="Arial" w:hAnsi="Arial"/>
          <w:b w:val="0"/>
          <w:i w:val="0"/>
          <w:sz w:val="22"/>
        </w:rPr>
        <w:t>Rendezvous Advisory Ltd  ·  Brass Teapot programme</w:t>
      </w:r>
    </w:p>
    <w:p>
      <w:r>
        <w:br w:type="page"/>
      </w:r>
    </w:p>
    <w:p>
      <w:pPr>
        <w:pStyle w:val="Heading1"/>
      </w:pPr>
      <w:r>
        <w:rPr>
          <w:color w:val="1F4E79"/>
        </w:rPr>
        <w:t>Appendices</w:t>
      </w:r>
    </w:p>
    <w:p>
      <w:pPr>
        <w:spacing w:after="160"/>
      </w:pPr>
      <w:r>
        <w:rPr>
          <w:rFonts w:ascii="Arial" w:hAnsi="Arial"/>
          <w:b w:val="0"/>
          <w:i w:val="0"/>
          <w:sz w:val="22"/>
        </w:rPr>
        <w:t>Appendix A — Bill-by-bill calculation tables (to be populated from the Data Bridge).</w:t>
      </w:r>
    </w:p>
    <w:p>
      <w:pPr>
        <w:spacing w:after="160"/>
      </w:pPr>
      <w:r>
        <w:rPr>
          <w:rFonts w:ascii="Arial" w:hAnsi="Arial"/>
          <w:b w:val="0"/>
          <w:i w:val="0"/>
          <w:sz w:val="22"/>
        </w:rPr>
        <w:t>Appendix B — Wholesale price series (only when evidential series are supplied; otherwise left blank with a note that a request must be made).</w:t>
      </w:r>
    </w:p>
    <w:p>
      <w:pPr>
        <w:spacing w:after="160"/>
      </w:pPr>
      <w:r>
        <w:rPr>
          <w:rFonts w:ascii="Arial" w:hAnsi="Arial"/>
          <w:b w:val="0"/>
          <w:i w:val="0"/>
          <w:sz w:val="22"/>
        </w:rPr>
        <w:t>Appendix C — Interest workings (to be completed once principal figures and periods are known).</w:t>
      </w:r>
    </w:p>
    <w:p>
      <w:pPr>
        <w:spacing w:after="160"/>
      </w:pPr>
      <w:r>
        <w:rPr>
          <w:rFonts w:ascii="Arial" w:hAnsi="Arial"/>
          <w:b w:val="0"/>
          <w:i w:val="0"/>
          <w:sz w:val="22"/>
        </w:rPr>
        <w:t>Appendix D — Authorities cited and authority register.</w:t>
      </w:r>
    </w:p>
    <w:p>
      <w:pPr>
        <w:spacing w:after="160"/>
      </w:pPr>
      <w:r>
        <w:rPr>
          <w:rFonts w:ascii="Arial" w:hAnsi="Arial"/>
          <w:b w:val="0"/>
          <w:i w:val="0"/>
          <w:sz w:val="22"/>
        </w:rPr>
        <w:t>Appendix E — Glossary.</w:t>
      </w:r>
    </w:p>
    <w:p>
      <w:pPr>
        <w:spacing w:after="160"/>
      </w:pPr>
      <w:r>
        <w:rPr>
          <w:rFonts w:ascii="Arial" w:hAnsi="Arial"/>
          <w:b w:val="0"/>
          <w:i w:val="0"/>
          <w:sz w:val="22"/>
        </w:rPr>
        <w:t>Appendix F — Author’s curriculum vitae and experience (if required).</w:t>
      </w:r>
    </w:p>
    <w:p>
      <w:pPr>
        <w:spacing w:after="160"/>
      </w:pPr>
      <w:r>
        <w:rPr>
          <w:rFonts w:ascii="Arial" w:hAnsi="Arial"/>
          <w:b w:val="0"/>
          <w:i/>
          <w:sz w:val="22"/>
        </w:rPr>
        <w:t>Template note</w:t>
        <w:br/>
        <w:t>This is a hybrid valuation template. Before issue, every bracketed placeholder must be replaced with evidential data from the extraction and disclosure process. No commission rate, fair rate, wholesale series or uplift may be inserted by guesswork. The valuation must remain accurate, plainly written, and fully supported by the authorities and opinions held by the firm.</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