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rFonts w:ascii="Calibri" w:hAnsi="Calibri" w:eastAsia="Calibri"/>
          <w:b/>
          <w:i w:val="0"/>
          <w:color w:val="7A1F2B"/>
          <w:sz w:val="24"/>
        </w:rPr>
        <w:t>CRIMSON HORSE</w:t>
      </w:r>
    </w:p>
    <w:p>
      <w:r>
        <w:rPr>
          <w:rFonts w:ascii="Calibri" w:hAnsi="Calibri" w:eastAsia="Calibri"/>
          <w:b/>
          <w:i w:val="0"/>
          <w:color w:val="7A1F2B"/>
          <w:sz w:val="44"/>
        </w:rPr>
        <w:t>The weekly review</w:t>
      </w:r>
    </w:p>
    <w:p>
      <w:r>
        <w:rPr>
          <w:rFonts w:ascii="Calibri" w:hAnsi="Calibri" w:eastAsia="Calibri"/>
          <w:b w:val="0"/>
          <w:i w:val="0"/>
          <w:color w:val="4A4A4A"/>
          <w:sz w:val="24"/>
        </w:rPr>
        <w:t>What it is, why it exists, and the rules. The Calculator is not changed in silence.</w:t>
      </w:r>
    </w:p>
    <w:p>
      <w:pPr>
        <w:spacing w:after="160"/>
      </w:pPr>
      <w:r>
        <w:rPr>
          <w:rFonts w:ascii="Calibri" w:hAnsi="Calibri" w:eastAsia="Calibri"/>
          <w:b w:val="0"/>
          <w:i w:val="0"/>
          <w:color w:val="1A1A1A"/>
          <w:sz w:val="22"/>
        </w:rPr>
        <w:t>This note is the standing rule for how Crimson Horse is kept current. It is not legal advice. It does not decide the commission or interest on any live case.</w:t>
      </w:r>
    </w:p>
    <w:p>
      <w:pPr>
        <w:pStyle w:val="Heading1"/>
      </w:pPr>
      <w:r>
        <w:rPr>
          <w:rFonts w:ascii="Calibri" w:hAnsi="Calibri"/>
          <w:color w:val="7A1F2B"/>
        </w:rPr>
        <w:t>What it is</w:t>
      </w:r>
    </w:p>
    <w:p>
      <w:pPr>
        <w:spacing w:after="160"/>
      </w:pPr>
      <w:r>
        <w:rPr>
          <w:rFonts w:ascii="Calibri" w:hAnsi="Calibri" w:eastAsia="Calibri"/>
          <w:b w:val="0"/>
          <w:i w:val="0"/>
          <w:color w:val="1A1A1A"/>
          <w:sz w:val="22"/>
        </w:rPr>
        <w:t>Once a week, on a fixed day, the owner (or the person they name) looks at a short list of suggested changes to the Calculator and the Data Bridge. Each suggestion is written down. Each one is given one of three answers: agree, later date, or reject for this week only.</w:t>
      </w:r>
    </w:p>
    <w:p>
      <w:pPr>
        <w:spacing w:after="160"/>
      </w:pPr>
      <w:r>
        <w:rPr>
          <w:rFonts w:ascii="Calibri" w:hAnsi="Calibri" w:eastAsia="Calibri"/>
          <w:b w:val="0"/>
          <w:i w:val="0"/>
          <w:color w:val="1A1A1A"/>
          <w:sz w:val="22"/>
        </w:rPr>
        <w:t>That is the whole meeting. It is short on purpose. It is not a redesign of the product. It is not a place to invent a rate so a case looks complete.</w:t>
      </w:r>
    </w:p>
    <w:p>
      <w:pPr>
        <w:spacing w:after="160"/>
      </w:pPr>
      <w:r>
        <w:rPr>
          <w:rFonts w:ascii="Calibri" w:hAnsi="Calibri" w:eastAsia="Calibri"/>
          <w:b w:val="0"/>
          <w:i w:val="0"/>
          <w:color w:val="1A1A1A"/>
          <w:sz w:val="22"/>
        </w:rPr>
        <w:t>“Constant” here means it does not stop. A week is not skipped because the desk is busy. If there is nothing new, the log still says so: “no change this week,” with the date.</w:t>
      </w:r>
    </w:p>
    <w:p>
      <w:pPr>
        <w:pStyle w:val="Heading1"/>
      </w:pPr>
      <w:r>
        <w:rPr>
          <w:rFonts w:ascii="Calibri" w:hAnsi="Calibri"/>
          <w:color w:val="7A1F2B"/>
        </w:rPr>
        <w:t>Why it exists</w:t>
      </w:r>
    </w:p>
    <w:p>
      <w:pPr>
        <w:spacing w:after="160"/>
      </w:pPr>
      <w:r>
        <w:rPr>
          <w:rFonts w:ascii="Calibri" w:hAnsi="Calibri" w:eastAsia="Calibri"/>
          <w:b w:val="0"/>
          <w:i w:val="0"/>
          <w:color w:val="1A1A1A"/>
          <w:sz w:val="22"/>
        </w:rPr>
        <w:t>Energy papers, interest bases and supplier layouts change. If the Calculator is never looked at, it goes stale. If it is changed whenever someone has an idea, live cases start using two different versions and nobody can say which figure came from which file.</w:t>
      </w:r>
    </w:p>
    <w:p>
      <w:pPr>
        <w:spacing w:after="160"/>
      </w:pPr>
      <w:r>
        <w:rPr>
          <w:rFonts w:ascii="Calibri" w:hAnsi="Calibri" w:eastAsia="Calibri"/>
          <w:b w:val="0"/>
          <w:i w:val="0"/>
          <w:color w:val="1A1A1A"/>
          <w:sz w:val="22"/>
        </w:rPr>
        <w:t>The weekly review exists so that both failures are avoided.</w:t>
      </w:r>
    </w:p>
    <w:p>
      <w:pPr>
        <w:pStyle w:val="ListBullet"/>
      </w:pPr>
      <w:r>
        <w:rPr>
          <w:rFonts w:ascii="Calibri" w:hAnsi="Calibri" w:eastAsia="Calibri"/>
          <w:b w:val="0"/>
          <w:i w:val="0"/>
          <w:color w:val="1A1A1A"/>
          <w:sz w:val="22"/>
        </w:rPr>
        <w:t>The live Calculator stays frozen until a change is agreed and dated.</w:t>
      </w:r>
    </w:p>
    <w:p>
      <w:pPr>
        <w:pStyle w:val="ListBullet"/>
      </w:pPr>
      <w:r>
        <w:rPr>
          <w:rFonts w:ascii="Calibri" w:hAnsi="Calibri" w:eastAsia="Calibri"/>
          <w:b w:val="0"/>
          <w:i w:val="0"/>
          <w:color w:val="1A1A1A"/>
          <w:sz w:val="22"/>
        </w:rPr>
        <w:t>Good ideas are not lost. A rejection is for this week only. The same idea comes back the following week.</w:t>
      </w:r>
    </w:p>
    <w:p>
      <w:pPr>
        <w:pStyle w:val="ListBullet"/>
      </w:pPr>
      <w:r>
        <w:rPr>
          <w:rFonts w:ascii="Calibri" w:hAnsi="Calibri" w:eastAsia="Calibri"/>
          <w:b w:val="0"/>
          <w:i w:val="0"/>
          <w:color w:val="1A1A1A"/>
          <w:sz w:val="22"/>
        </w:rPr>
        <w:t>A live case is never the place where a new method is tried for the first time.</w:t>
      </w:r>
    </w:p>
    <w:p>
      <w:pPr>
        <w:pStyle w:val="ListBullet"/>
      </w:pPr>
      <w:r>
        <w:rPr>
          <w:rFonts w:ascii="Calibri" w:hAnsi="Calibri" w:eastAsia="Calibri"/>
          <w:b w:val="0"/>
          <w:i w:val="0"/>
          <w:color w:val="1A1A1A"/>
          <w:sz w:val="22"/>
        </w:rPr>
        <w:t>Anyone can see, on the log, what was proposed, what was decided, and when.</w:t>
      </w:r>
    </w:p>
    <w:p>
      <w:pPr>
        <w:pStyle w:val="Heading1"/>
      </w:pPr>
      <w:r>
        <w:rPr>
          <w:rFonts w:ascii="Calibri" w:hAnsi="Calibri"/>
          <w:color w:val="7A1F2B"/>
        </w:rPr>
        <w:t>What is looked at, every week</w:t>
      </w:r>
    </w:p>
    <w:p>
      <w:pPr>
        <w:pStyle w:val="ListBullet"/>
      </w:pPr>
      <w:r>
        <w:rPr>
          <w:rFonts w:ascii="Calibri" w:hAnsi="Calibri" w:eastAsia="Calibri"/>
          <w:b w:val="0"/>
          <w:i w:val="0"/>
          <w:color w:val="1A1A1A"/>
          <w:sz w:val="22"/>
        </w:rPr>
        <w:t>Has a solicitor asked, in writing, for a documented interest basis that is not already on the sheet (for example a named published series)? The series is only added if it can be pointed to. It is never guessed.</w:t>
      </w:r>
    </w:p>
    <w:p>
      <w:pPr>
        <w:pStyle w:val="ListBullet"/>
      </w:pPr>
      <w:r>
        <w:rPr>
          <w:rFonts w:ascii="Calibri" w:hAnsi="Calibri" w:eastAsia="Calibri"/>
          <w:b w:val="0"/>
          <w:i w:val="0"/>
          <w:color w:val="1A1A1A"/>
          <w:sz w:val="22"/>
        </w:rPr>
        <w:t>Has a new supplier layout shown a charge the Bridge cannot yet map (day and night units, half-hour meters, Climate Change Levy, a standing-charge split)?</w:t>
      </w:r>
    </w:p>
    <w:p>
      <w:pPr>
        <w:pStyle w:val="ListBullet"/>
      </w:pPr>
      <w:r>
        <w:rPr>
          <w:rFonts w:ascii="Calibri" w:hAnsi="Calibri" w:eastAsia="Calibri"/>
          <w:b w:val="0"/>
          <w:i w:val="0"/>
          <w:color w:val="1A1A1A"/>
          <w:sz w:val="22"/>
        </w:rPr>
        <w:t>Has a Method produced a figure that the four-eyes review could not tie to a Bridge cell?</w:t>
      </w:r>
    </w:p>
    <w:p>
      <w:pPr>
        <w:pStyle w:val="ListBullet"/>
      </w:pPr>
      <w:r>
        <w:rPr>
          <w:rFonts w:ascii="Calibri" w:hAnsi="Calibri" w:eastAsia="Calibri"/>
          <w:b w:val="0"/>
          <w:i w:val="0"/>
          <w:color w:val="1A1A1A"/>
          <w:sz w:val="22"/>
        </w:rPr>
        <w:t>Has anyone proposed a default commission, a default “fair” rate, or a default uplift? If yes, the answer remains no, unless a solicitor instruction for that case is already on the file. A default for all cases is not agreed here.</w:t>
      </w:r>
    </w:p>
    <w:p>
      <w:pPr>
        <w:pStyle w:val="ListBullet"/>
      </w:pPr>
      <w:r>
        <w:rPr>
          <w:rFonts w:ascii="Calibri" w:hAnsi="Calibri" w:eastAsia="Calibri"/>
          <w:b w:val="0"/>
          <w:i w:val="0"/>
          <w:color w:val="1A1A1A"/>
          <w:sz w:val="22"/>
        </w:rPr>
        <w:t>Are the live file names still the frozen versions (Calculator, empty Data Bridge, current valuation template)?</w:t>
      </w:r>
    </w:p>
    <w:p>
      <w:pPr>
        <w:pStyle w:val="Heading1"/>
      </w:pPr>
      <w:r>
        <w:rPr>
          <w:rFonts w:ascii="Calibri" w:hAnsi="Calibri"/>
          <w:color w:val="7A1F2B"/>
        </w:rPr>
        <w:t>The three answers</w:t>
      </w:r>
    </w:p>
    <w:tbl>
      <w:tblPr>
        <w:tblStyle w:val="TableGrid"/>
        <w:tblW w:type="auto" w:w="0"/>
        <w:tblLook w:firstColumn="1" w:firstRow="1" w:lastColumn="0" w:lastRow="0" w:noHBand="0" w:noVBand="1" w:val="04A0"/>
      </w:tblPr>
      <w:tblGrid>
        <w:gridCol w:w="3362"/>
        <w:gridCol w:w="3362"/>
        <w:gridCol w:w="3362"/>
      </w:tblGrid>
      <w:tr>
        <w:tc>
          <w:tcPr>
            <w:tcW w:type="dxa" w:w="3362"/>
            <w:shd w:fill="7A1F2B" w:val="clear"/>
          </w:tcPr>
          <w:p>
            <w:pPr>
              <w:spacing w:after="40" w:before="40"/>
            </w:pPr>
            <w:r/>
            <w:r>
              <w:rPr>
                <w:rFonts w:ascii="Calibri" w:hAnsi="Calibri" w:eastAsia="Calibri"/>
                <w:b/>
                <w:i w:val="0"/>
                <w:color w:val="FFFFFF"/>
                <w:sz w:val="20"/>
              </w:rPr>
              <w:t>Answer</w:t>
            </w:r>
          </w:p>
        </w:tc>
        <w:tc>
          <w:tcPr>
            <w:tcW w:type="dxa" w:w="3362"/>
            <w:shd w:fill="7A1F2B" w:val="clear"/>
          </w:tcPr>
          <w:p>
            <w:pPr>
              <w:spacing w:after="40" w:before="40"/>
            </w:pPr>
            <w:r/>
            <w:r>
              <w:rPr>
                <w:rFonts w:ascii="Calibri" w:hAnsi="Calibri" w:eastAsia="Calibri"/>
                <w:b/>
                <w:i w:val="0"/>
                <w:color w:val="FFFFFF"/>
                <w:sz w:val="20"/>
              </w:rPr>
              <w:t>What it means</w:t>
            </w:r>
          </w:p>
        </w:tc>
        <w:tc>
          <w:tcPr>
            <w:tcW w:type="dxa" w:w="3362"/>
            <w:shd w:fill="7A1F2B" w:val="clear"/>
          </w:tcPr>
          <w:p>
            <w:pPr>
              <w:spacing w:after="40" w:before="40"/>
            </w:pPr>
            <w:r/>
            <w:r>
              <w:rPr>
                <w:rFonts w:ascii="Calibri" w:hAnsi="Calibri" w:eastAsia="Calibri"/>
                <w:b/>
                <w:i w:val="0"/>
                <w:color w:val="FFFFFF"/>
                <w:sz w:val="20"/>
              </w:rPr>
              <w:t>What happens next</w:t>
            </w:r>
          </w:p>
        </w:tc>
      </w:tr>
      <w:tr>
        <w:tc>
          <w:tcPr>
            <w:tcW w:type="dxa" w:w="3362"/>
          </w:tcPr>
          <w:p>
            <w:pPr>
              <w:spacing w:after="40" w:before="40"/>
            </w:pPr>
            <w:r/>
            <w:r>
              <w:rPr>
                <w:rFonts w:ascii="Calibri" w:hAnsi="Calibri" w:eastAsia="Calibri"/>
                <w:b w:val="0"/>
                <w:i w:val="0"/>
                <w:color w:val="1A1A1A"/>
                <w:sz w:val="20"/>
              </w:rPr>
              <w:t>Agree</w:t>
            </w:r>
          </w:p>
        </w:tc>
        <w:tc>
          <w:tcPr>
            <w:tcW w:type="dxa" w:w="3362"/>
          </w:tcPr>
          <w:p>
            <w:pPr>
              <w:spacing w:after="40" w:before="40"/>
            </w:pPr>
            <w:r/>
            <w:r>
              <w:rPr>
                <w:rFonts w:ascii="Calibri" w:hAnsi="Calibri" w:eastAsia="Calibri"/>
                <w:b w:val="0"/>
                <w:i w:val="0"/>
                <w:color w:val="1A1A1A"/>
                <w:sz w:val="20"/>
              </w:rPr>
              <w:t>The change is accepted.</w:t>
            </w:r>
          </w:p>
        </w:tc>
        <w:tc>
          <w:tcPr>
            <w:tcW w:type="dxa" w:w="3362"/>
          </w:tcPr>
          <w:p>
            <w:pPr>
              <w:spacing w:after="40" w:before="40"/>
            </w:pPr>
            <w:r/>
            <w:r>
              <w:rPr>
                <w:rFonts w:ascii="Calibri" w:hAnsi="Calibri" w:eastAsia="Calibri"/>
                <w:b w:val="0"/>
                <w:i w:val="0"/>
                <w:color w:val="1A1A1A"/>
                <w:sz w:val="20"/>
              </w:rPr>
              <w:t>It is made on a new dated copy. The live file name or version mark moves to that copy. The old file is archived, not deleted. No live case is recalculated unless the solicitor asks.</w:t>
            </w:r>
          </w:p>
        </w:tc>
      </w:tr>
      <w:tr>
        <w:tc>
          <w:tcPr>
            <w:tcW w:type="dxa" w:w="3362"/>
            <w:shd w:fill="F4EFE6" w:val="clear"/>
          </w:tcPr>
          <w:p>
            <w:pPr>
              <w:spacing w:after="40" w:before="40"/>
            </w:pPr>
            <w:r/>
            <w:r>
              <w:rPr>
                <w:rFonts w:ascii="Calibri" w:hAnsi="Calibri" w:eastAsia="Calibri"/>
                <w:b w:val="0"/>
                <w:i w:val="0"/>
                <w:color w:val="1A1A1A"/>
                <w:sz w:val="20"/>
              </w:rPr>
              <w:t>Later date</w:t>
            </w:r>
          </w:p>
        </w:tc>
        <w:tc>
          <w:tcPr>
            <w:tcW w:type="dxa" w:w="3362"/>
            <w:shd w:fill="F4EFE6" w:val="clear"/>
          </w:tcPr>
          <w:p>
            <w:pPr>
              <w:spacing w:after="40" w:before="40"/>
            </w:pPr>
            <w:r/>
            <w:r>
              <w:rPr>
                <w:rFonts w:ascii="Calibri" w:hAnsi="Calibri" w:eastAsia="Calibri"/>
                <w:b w:val="0"/>
                <w:i w:val="0"/>
                <w:color w:val="1A1A1A"/>
                <w:sz w:val="20"/>
              </w:rPr>
              <w:t>The idea is not refused. It is not applied now.</w:t>
            </w:r>
          </w:p>
        </w:tc>
        <w:tc>
          <w:tcPr>
            <w:tcW w:type="dxa" w:w="3362"/>
            <w:shd w:fill="F4EFE6" w:val="clear"/>
          </w:tcPr>
          <w:p>
            <w:pPr>
              <w:spacing w:after="40" w:before="40"/>
            </w:pPr>
            <w:r/>
            <w:r>
              <w:rPr>
                <w:rFonts w:ascii="Calibri" w:hAnsi="Calibri" w:eastAsia="Calibri"/>
                <w:b w:val="0"/>
                <w:i w:val="0"/>
                <w:color w:val="1A1A1A"/>
                <w:sz w:val="20"/>
              </w:rPr>
              <w:t>It is written on the log with the date it may be looked at again. It is not used on a live case in the meantime.</w:t>
            </w:r>
          </w:p>
        </w:tc>
      </w:tr>
      <w:tr>
        <w:tc>
          <w:tcPr>
            <w:tcW w:type="dxa" w:w="3362"/>
          </w:tcPr>
          <w:p>
            <w:pPr>
              <w:spacing w:after="40" w:before="40"/>
            </w:pPr>
            <w:r/>
            <w:r>
              <w:rPr>
                <w:rFonts w:ascii="Calibri" w:hAnsi="Calibri" w:eastAsia="Calibri"/>
                <w:b w:val="0"/>
                <w:i w:val="0"/>
                <w:color w:val="1A1A1A"/>
                <w:sz w:val="20"/>
              </w:rPr>
              <w:t>Reject this week only</w:t>
            </w:r>
          </w:p>
        </w:tc>
        <w:tc>
          <w:tcPr>
            <w:tcW w:type="dxa" w:w="3362"/>
          </w:tcPr>
          <w:p>
            <w:pPr>
              <w:spacing w:after="40" w:before="40"/>
            </w:pPr>
            <w:r/>
            <w:r>
              <w:rPr>
                <w:rFonts w:ascii="Calibri" w:hAnsi="Calibri" w:eastAsia="Calibri"/>
                <w:b w:val="0"/>
                <w:i w:val="0"/>
                <w:color w:val="1A1A1A"/>
                <w:sz w:val="20"/>
              </w:rPr>
              <w:t>The idea is not applied this week.</w:t>
            </w:r>
          </w:p>
        </w:tc>
        <w:tc>
          <w:tcPr>
            <w:tcW w:type="dxa" w:w="3362"/>
          </w:tcPr>
          <w:p>
            <w:pPr>
              <w:spacing w:after="40" w:before="40"/>
            </w:pPr>
            <w:r/>
            <w:r>
              <w:rPr>
                <w:rFonts w:ascii="Calibri" w:hAnsi="Calibri" w:eastAsia="Calibri"/>
                <w:b w:val="0"/>
                <w:i w:val="0"/>
                <w:color w:val="1A1A1A"/>
                <w:sz w:val="20"/>
              </w:rPr>
              <w:t>It is logged. It is raised again the following week. It is not killed. It is not applied.</w:t>
            </w:r>
          </w:p>
        </w:tc>
      </w:tr>
    </w:tbl>
    <w:p/>
    <w:p>
      <w:pPr>
        <w:spacing w:after="160"/>
      </w:pPr>
      <w:r>
        <w:rPr>
          <w:rFonts w:ascii="Calibri" w:hAnsi="Calibri" w:eastAsia="Calibri"/>
          <w:b w:val="0"/>
          <w:i w:val="0"/>
          <w:color w:val="1A1A1A"/>
          <w:sz w:val="22"/>
        </w:rPr>
        <w:t>There is no fourth answer of “reject forever.” If an idea is truly finished with, that is recorded as “later date” far in the future, with one line saying why. Even then it can be brought back.</w:t>
      </w:r>
    </w:p>
    <w:p>
      <w:pPr>
        <w:pStyle w:val="Heading1"/>
      </w:pPr>
      <w:r>
        <w:rPr>
          <w:rFonts w:ascii="Calibri" w:hAnsi="Calibri"/>
          <w:color w:val="7A1F2B"/>
        </w:rPr>
        <w:t>The rules</w:t>
      </w:r>
    </w:p>
    <w:p>
      <w:pPr>
        <w:spacing w:after="160"/>
      </w:pPr>
      <w:r>
        <w:rPr>
          <w:rFonts w:ascii="Calibri" w:hAnsi="Calibri" w:eastAsia="Calibri"/>
          <w:b/>
          <w:i w:val="0"/>
          <w:color w:val="1A1A1A"/>
          <w:sz w:val="22"/>
        </w:rPr>
        <w:t>These are the rules we have already agreed. They do not change from week to week.</w:t>
      </w:r>
    </w:p>
    <w:tbl>
      <w:tblPr>
        <w:tblStyle w:val="TableGrid"/>
        <w:tblW w:type="auto" w:w="0"/>
        <w:tblLook w:firstColumn="1" w:firstRow="1" w:lastColumn="0" w:lastRow="0" w:noHBand="0" w:noVBand="1" w:val="04A0"/>
      </w:tblPr>
      <w:tblGrid>
        <w:gridCol w:w="5043"/>
        <w:gridCol w:w="5043"/>
      </w:tblGrid>
      <w:tr>
        <w:tc>
          <w:tcPr>
            <w:tcW w:type="dxa" w:w="5043"/>
            <w:shd w:fill="7A1F2B" w:val="clear"/>
          </w:tcPr>
          <w:p>
            <w:pPr>
              <w:spacing w:after="40" w:before="40"/>
            </w:pPr>
            <w:r/>
            <w:r>
              <w:rPr>
                <w:rFonts w:ascii="Calibri" w:hAnsi="Calibri" w:eastAsia="Calibri"/>
                <w:b/>
                <w:i w:val="0"/>
                <w:color w:val="FFFFFF"/>
                <w:sz w:val="20"/>
              </w:rPr>
              <w:t>Rule</w:t>
            </w:r>
          </w:p>
        </w:tc>
        <w:tc>
          <w:tcPr>
            <w:tcW w:type="dxa" w:w="5043"/>
            <w:shd w:fill="7A1F2B" w:val="clear"/>
          </w:tcPr>
          <w:p>
            <w:pPr>
              <w:spacing w:after="40" w:before="40"/>
            </w:pPr>
            <w:r/>
            <w:r>
              <w:rPr>
                <w:rFonts w:ascii="Calibri" w:hAnsi="Calibri" w:eastAsia="Calibri"/>
                <w:b/>
                <w:i w:val="0"/>
                <w:color w:val="FFFFFF"/>
                <w:sz w:val="20"/>
              </w:rPr>
              <w:t>In practice</w:t>
            </w:r>
          </w:p>
        </w:tc>
      </w:tr>
      <w:tr>
        <w:tc>
          <w:tcPr>
            <w:tcW w:type="dxa" w:w="5043"/>
          </w:tcPr>
          <w:p>
            <w:pPr>
              <w:spacing w:after="40" w:before="40"/>
            </w:pPr>
            <w:r/>
            <w:r>
              <w:rPr>
                <w:rFonts w:ascii="Calibri" w:hAnsi="Calibri" w:eastAsia="Calibri"/>
                <w:b w:val="0"/>
                <w:i w:val="0"/>
                <w:color w:val="1A1A1A"/>
                <w:sz w:val="20"/>
              </w:rPr>
              <w:t>No rates, no guessing</w:t>
            </w:r>
          </w:p>
        </w:tc>
        <w:tc>
          <w:tcPr>
            <w:tcW w:type="dxa" w:w="5043"/>
          </w:tcPr>
          <w:p>
            <w:pPr>
              <w:spacing w:after="40" w:before="40"/>
            </w:pPr>
            <w:r/>
            <w:r>
              <w:rPr>
                <w:rFonts w:ascii="Calibri" w:hAnsi="Calibri" w:eastAsia="Calibri"/>
                <w:b w:val="0"/>
                <w:i w:val="0"/>
                <w:color w:val="1A1A1A"/>
                <w:sz w:val="20"/>
              </w:rPr>
              <w:t>The review does not invent a commission, a fair rate, an uplift, or a wholesale series. If the figure is not on a page or in a solicitor instruction, it is not added.</w:t>
            </w:r>
          </w:p>
        </w:tc>
      </w:tr>
      <w:tr>
        <w:tc>
          <w:tcPr>
            <w:tcW w:type="dxa" w:w="5043"/>
            <w:shd w:fill="F4EFE6" w:val="clear"/>
          </w:tcPr>
          <w:p>
            <w:pPr>
              <w:spacing w:after="40" w:before="40"/>
            </w:pPr>
            <w:r/>
            <w:r>
              <w:rPr>
                <w:rFonts w:ascii="Calibri" w:hAnsi="Calibri" w:eastAsia="Calibri"/>
                <w:b w:val="0"/>
                <w:i w:val="0"/>
                <w:color w:val="1A1A1A"/>
                <w:sz w:val="20"/>
              </w:rPr>
              <w:t>No live-case decisions</w:t>
            </w:r>
          </w:p>
        </w:tc>
        <w:tc>
          <w:tcPr>
            <w:tcW w:type="dxa" w:w="5043"/>
            <w:shd w:fill="F4EFE6" w:val="clear"/>
          </w:tcPr>
          <w:p>
            <w:pPr>
              <w:spacing w:after="40" w:before="40"/>
            </w:pPr>
            <w:r/>
            <w:r>
              <w:rPr>
                <w:rFonts w:ascii="Calibri" w:hAnsi="Calibri" w:eastAsia="Calibri"/>
                <w:b w:val="0"/>
                <w:i w:val="0"/>
                <w:color w:val="1A1A1A"/>
                <w:sz w:val="20"/>
              </w:rPr>
              <w:t>This meeting does not set the commission or interest on a named case. That is only done when a solicitor instruction is already on that file.</w:t>
            </w:r>
          </w:p>
        </w:tc>
      </w:tr>
      <w:tr>
        <w:tc>
          <w:tcPr>
            <w:tcW w:type="dxa" w:w="5043"/>
          </w:tcPr>
          <w:p>
            <w:pPr>
              <w:spacing w:after="40" w:before="40"/>
            </w:pPr>
            <w:r/>
            <w:r>
              <w:rPr>
                <w:rFonts w:ascii="Calibri" w:hAnsi="Calibri" w:eastAsia="Calibri"/>
                <w:b w:val="0"/>
                <w:i w:val="0"/>
                <w:color w:val="1A1A1A"/>
                <w:sz w:val="20"/>
              </w:rPr>
              <w:t>Nothing silent</w:t>
            </w:r>
          </w:p>
        </w:tc>
        <w:tc>
          <w:tcPr>
            <w:tcW w:type="dxa" w:w="5043"/>
          </w:tcPr>
          <w:p>
            <w:pPr>
              <w:spacing w:after="40" w:before="40"/>
            </w:pPr>
            <w:r/>
            <w:r>
              <w:rPr>
                <w:rFonts w:ascii="Calibri" w:hAnsi="Calibri" w:eastAsia="Calibri"/>
                <w:b w:val="0"/>
                <w:i w:val="0"/>
                <w:color w:val="1A1A1A"/>
                <w:sz w:val="20"/>
              </w:rPr>
              <w:t>A change is not slipped into the live Calculator between meetings. If it is not on this week’s log, it is not in the live file.</w:t>
            </w:r>
          </w:p>
        </w:tc>
      </w:tr>
      <w:tr>
        <w:tc>
          <w:tcPr>
            <w:tcW w:type="dxa" w:w="5043"/>
            <w:shd w:fill="F4EFE6" w:val="clear"/>
          </w:tcPr>
          <w:p>
            <w:pPr>
              <w:spacing w:after="40" w:before="40"/>
            </w:pPr>
            <w:r/>
            <w:r>
              <w:rPr>
                <w:rFonts w:ascii="Calibri" w:hAnsi="Calibri" w:eastAsia="Calibri"/>
                <w:b w:val="0"/>
                <w:i w:val="0"/>
                <w:color w:val="1A1A1A"/>
                <w:sz w:val="20"/>
              </w:rPr>
              <w:t>Dated copies</w:t>
            </w:r>
          </w:p>
        </w:tc>
        <w:tc>
          <w:tcPr>
            <w:tcW w:type="dxa" w:w="5043"/>
            <w:shd w:fill="F4EFE6" w:val="clear"/>
          </w:tcPr>
          <w:p>
            <w:pPr>
              <w:spacing w:after="40" w:before="40"/>
            </w:pPr>
            <w:r/>
            <w:r>
              <w:rPr>
                <w:rFonts w:ascii="Calibri" w:hAnsi="Calibri" w:eastAsia="Calibri"/>
                <w:b w:val="0"/>
                <w:i w:val="0"/>
                <w:color w:val="1A1A1A"/>
                <w:sz w:val="20"/>
              </w:rPr>
              <w:t>An agreed change is a new file, or a new version mark, with the date. The previous live file is kept.</w:t>
            </w:r>
          </w:p>
        </w:tc>
      </w:tr>
      <w:tr>
        <w:tc>
          <w:tcPr>
            <w:tcW w:type="dxa" w:w="5043"/>
          </w:tcPr>
          <w:p>
            <w:pPr>
              <w:spacing w:after="40" w:before="40"/>
            </w:pPr>
            <w:r/>
            <w:r>
              <w:rPr>
                <w:rFonts w:ascii="Calibri" w:hAnsi="Calibri" w:eastAsia="Calibri"/>
                <w:b w:val="0"/>
                <w:i w:val="0"/>
                <w:color w:val="1A1A1A"/>
                <w:sz w:val="20"/>
              </w:rPr>
              <w:t>Reject means this week only</w:t>
            </w:r>
          </w:p>
        </w:tc>
        <w:tc>
          <w:tcPr>
            <w:tcW w:type="dxa" w:w="5043"/>
          </w:tcPr>
          <w:p>
            <w:pPr>
              <w:spacing w:after="40" w:before="40"/>
            </w:pPr>
            <w:r/>
            <w:r>
              <w:rPr>
                <w:rFonts w:ascii="Calibri" w:hAnsi="Calibri" w:eastAsia="Calibri"/>
                <w:b w:val="0"/>
                <w:i w:val="0"/>
                <w:color w:val="1A1A1A"/>
                <w:sz w:val="20"/>
              </w:rPr>
              <w:t>The same suggestion is tabled again next week. The person who rejected it does not have to argue it again from memory — the log carries the last reason.</w:t>
            </w:r>
          </w:p>
        </w:tc>
      </w:tr>
      <w:tr>
        <w:tc>
          <w:tcPr>
            <w:tcW w:type="dxa" w:w="5043"/>
            <w:shd w:fill="F4EFE6" w:val="clear"/>
          </w:tcPr>
          <w:p>
            <w:pPr>
              <w:spacing w:after="40" w:before="40"/>
            </w:pPr>
            <w:r/>
            <w:r>
              <w:rPr>
                <w:rFonts w:ascii="Calibri" w:hAnsi="Calibri" w:eastAsia="Calibri"/>
                <w:b w:val="0"/>
                <w:i w:val="0"/>
                <w:color w:val="1A1A1A"/>
                <w:sz w:val="20"/>
              </w:rPr>
              <w:t>A week is not skipped</w:t>
            </w:r>
          </w:p>
        </w:tc>
        <w:tc>
          <w:tcPr>
            <w:tcW w:type="dxa" w:w="5043"/>
            <w:shd w:fill="F4EFE6" w:val="clear"/>
          </w:tcPr>
          <w:p>
            <w:pPr>
              <w:spacing w:after="40" w:before="40"/>
            </w:pPr>
            <w:r/>
            <w:r>
              <w:rPr>
                <w:rFonts w:ascii="Calibri" w:hAnsi="Calibri" w:eastAsia="Calibri"/>
                <w:b w:val="0"/>
                <w:i w:val="0"/>
                <w:color w:val="1A1A1A"/>
                <w:sz w:val="20"/>
              </w:rPr>
              <w:t>If there is nothing to decide, the log still gets a dated line: no change.</w:t>
            </w:r>
          </w:p>
        </w:tc>
      </w:tr>
      <w:tr>
        <w:tc>
          <w:tcPr>
            <w:tcW w:type="dxa" w:w="5043"/>
          </w:tcPr>
          <w:p>
            <w:pPr>
              <w:spacing w:after="40" w:before="40"/>
            </w:pPr>
            <w:r/>
            <w:r>
              <w:rPr>
                <w:rFonts w:ascii="Calibri" w:hAnsi="Calibri" w:eastAsia="Calibri"/>
                <w:b w:val="0"/>
                <w:i w:val="0"/>
                <w:color w:val="1A1A1A"/>
                <w:sz w:val="20"/>
              </w:rPr>
              <w:t>One live version</w:t>
            </w:r>
          </w:p>
        </w:tc>
        <w:tc>
          <w:tcPr>
            <w:tcW w:type="dxa" w:w="5043"/>
          </w:tcPr>
          <w:p>
            <w:pPr>
              <w:spacing w:after="40" w:before="40"/>
            </w:pPr>
            <w:r/>
            <w:r>
              <w:rPr>
                <w:rFonts w:ascii="Calibri" w:hAnsi="Calibri" w:eastAsia="Calibri"/>
                <w:b w:val="0"/>
                <w:i w:val="0"/>
                <w:color w:val="1A1A1A"/>
                <w:sz w:val="20"/>
              </w:rPr>
              <w:t>Desks use the frozen Calculator and the frozen Data Bridge. Five machines is five copies of the same version, not five versions.</w:t>
            </w:r>
          </w:p>
        </w:tc>
      </w:tr>
      <w:tr>
        <w:tc>
          <w:tcPr>
            <w:tcW w:type="dxa" w:w="5043"/>
            <w:shd w:fill="F4EFE6" w:val="clear"/>
          </w:tcPr>
          <w:p>
            <w:pPr>
              <w:spacing w:after="40" w:before="40"/>
            </w:pPr>
            <w:r/>
            <w:r>
              <w:rPr>
                <w:rFonts w:ascii="Calibri" w:hAnsi="Calibri" w:eastAsia="Calibri"/>
                <w:b w:val="0"/>
                <w:i w:val="0"/>
                <w:color w:val="1A1A1A"/>
                <w:sz w:val="20"/>
              </w:rPr>
              <w:t>Not legal advice</w:t>
            </w:r>
          </w:p>
        </w:tc>
        <w:tc>
          <w:tcPr>
            <w:tcW w:type="dxa" w:w="5043"/>
            <w:shd w:fill="F4EFE6" w:val="clear"/>
          </w:tcPr>
          <w:p>
            <w:pPr>
              <w:spacing w:after="40" w:before="40"/>
            </w:pPr>
            <w:r/>
            <w:r>
              <w:rPr>
                <w:rFonts w:ascii="Calibri" w:hAnsi="Calibri" w:eastAsia="Calibri"/>
                <w:b w:val="0"/>
                <w:i w:val="0"/>
                <w:color w:val="1A1A1A"/>
                <w:sz w:val="20"/>
              </w:rPr>
              <w:t>The review does not decide whether a claim should be brought, or what should be pleaded.</w:t>
            </w:r>
          </w:p>
        </w:tc>
      </w:tr>
    </w:tbl>
    <w:p/>
    <w:p>
      <w:pPr>
        <w:pStyle w:val="Heading1"/>
      </w:pPr>
      <w:r>
        <w:rPr>
          <w:rFonts w:ascii="Calibri" w:hAnsi="Calibri"/>
          <w:color w:val="7A1F2B"/>
        </w:rPr>
        <w:t>Who is in the room</w:t>
      </w:r>
    </w:p>
    <w:p>
      <w:pPr>
        <w:pStyle w:val="ListBullet"/>
      </w:pPr>
      <w:r>
        <w:rPr>
          <w:rFonts w:ascii="Calibri" w:hAnsi="Calibri" w:eastAsia="Calibri"/>
          <w:b w:val="0"/>
          <w:i w:val="0"/>
          <w:color w:val="1A1A1A"/>
          <w:sz w:val="22"/>
        </w:rPr>
        <w:t>The owner, or the person they have named to maintain the Calculator.</w:t>
      </w:r>
    </w:p>
    <w:p>
      <w:pPr>
        <w:pStyle w:val="ListBullet"/>
      </w:pPr>
      <w:r>
        <w:rPr>
          <w:rFonts w:ascii="Calibri" w:hAnsi="Calibri" w:eastAsia="Calibri"/>
          <w:b w:val="0"/>
          <w:i w:val="0"/>
          <w:color w:val="1A1A1A"/>
          <w:sz w:val="22"/>
        </w:rPr>
        <w:t>Optionally the first operator, if a layout they saw that week needs to be described.</w:t>
      </w:r>
    </w:p>
    <w:p>
      <w:pPr>
        <w:pStyle w:val="ListBullet"/>
      </w:pPr>
      <w:r>
        <w:rPr>
          <w:rFonts w:ascii="Calibri" w:hAnsi="Calibri" w:eastAsia="Calibri"/>
          <w:b w:val="0"/>
          <w:i w:val="0"/>
          <w:color w:val="1A1A1A"/>
          <w:sz w:val="22"/>
        </w:rPr>
        <w:t>Not a solicitor, unless they have asked to be there. Their instruction, if any, is a written note on a case file, not a comment in this meeting.</w:t>
      </w:r>
    </w:p>
    <w:p>
      <w:pPr>
        <w:pStyle w:val="Heading1"/>
      </w:pPr>
      <w:r>
        <w:rPr>
          <w:rFonts w:ascii="Calibri" w:hAnsi="Calibri"/>
          <w:color w:val="7A1F2B"/>
        </w:rPr>
        <w:t>Where it is written down</w:t>
      </w:r>
    </w:p>
    <w:p>
      <w:pPr>
        <w:spacing w:after="160"/>
      </w:pPr>
      <w:r>
        <w:rPr>
          <w:rFonts w:ascii="Calibri" w:hAnsi="Calibri" w:eastAsia="Calibri"/>
          <w:b w:val="0"/>
          <w:i w:val="0"/>
          <w:color w:val="1A1A1A"/>
          <w:sz w:val="22"/>
        </w:rPr>
        <w:t>Every suggestion and every answer is written on the Weekly_Improvement_Log sheet in the Data Bridge template. Each line has: the date, the proposal in one sentence, the answer (agree / later date / reject this week only), the reason in one sentence, and who recorded it.</w:t>
      </w:r>
    </w:p>
    <w:p>
      <w:pPr>
        <w:spacing w:after="160"/>
      </w:pPr>
      <w:r>
        <w:rPr>
          <w:rFonts w:ascii="Calibri" w:hAnsi="Calibri" w:eastAsia="Calibri"/>
          <w:b w:val="0"/>
          <w:i w:val="0"/>
          <w:color w:val="1A1A1A"/>
          <w:sz w:val="22"/>
        </w:rPr>
        <w:t>If the log is blank, the review did not happen. A conversation that is not on the log is not a decision.</w:t>
      </w:r>
    </w:p>
    <w:p>
      <w:pPr>
        <w:pStyle w:val="Heading1"/>
      </w:pPr>
      <w:r>
        <w:rPr>
          <w:rFonts w:ascii="Calibri" w:hAnsi="Calibri"/>
          <w:color w:val="7A1F2B"/>
        </w:rPr>
        <w:t>What a good week looks like</w:t>
      </w:r>
    </w:p>
    <w:p>
      <w:pPr>
        <w:pStyle w:val="ListBullet"/>
      </w:pPr>
      <w:r>
        <w:rPr>
          <w:rFonts w:ascii="Calibri" w:hAnsi="Calibri" w:eastAsia="Calibri"/>
          <w:b w:val="0"/>
          <w:i w:val="0"/>
          <w:color w:val="1A1A1A"/>
          <w:sz w:val="22"/>
        </w:rPr>
        <w:t>The meeting takes minutes, not an afternoon.</w:t>
      </w:r>
    </w:p>
    <w:p>
      <w:pPr>
        <w:pStyle w:val="ListBullet"/>
      </w:pPr>
      <w:r>
        <w:rPr>
          <w:rFonts w:ascii="Calibri" w:hAnsi="Calibri" w:eastAsia="Calibri"/>
          <w:b w:val="0"/>
          <w:i w:val="0"/>
          <w:color w:val="1A1A1A"/>
          <w:sz w:val="22"/>
        </w:rPr>
        <w:t>The log has a dated line, even if the line is “no change.”</w:t>
      </w:r>
    </w:p>
    <w:p>
      <w:pPr>
        <w:pStyle w:val="ListBullet"/>
      </w:pPr>
      <w:r>
        <w:rPr>
          <w:rFonts w:ascii="Calibri" w:hAnsi="Calibri" w:eastAsia="Calibri"/>
          <w:b w:val="0"/>
          <w:i w:val="0"/>
          <w:color w:val="1A1A1A"/>
          <w:sz w:val="22"/>
        </w:rPr>
        <w:t>The live Calculator is the same file it was last week, unless “agree” was written.</w:t>
      </w:r>
    </w:p>
    <w:p>
      <w:pPr>
        <w:pStyle w:val="ListBullet"/>
      </w:pPr>
      <w:r>
        <w:rPr>
          <w:rFonts w:ascii="Calibri" w:hAnsi="Calibri" w:eastAsia="Calibri"/>
          <w:b w:val="0"/>
          <w:i w:val="0"/>
          <w:color w:val="1A1A1A"/>
          <w:sz w:val="22"/>
        </w:rPr>
        <w:t>No live case has a new method that the log does not mention.</w:t>
      </w:r>
    </w:p>
    <w:p>
      <w:pPr>
        <w:pStyle w:val="Heading1"/>
      </w:pPr>
      <w:r>
        <w:rPr>
          <w:rFonts w:ascii="Calibri" w:hAnsi="Calibri"/>
          <w:color w:val="7A1F2B"/>
        </w:rPr>
        <w:t>What this file is not</w:t>
      </w:r>
    </w:p>
    <w:p>
      <w:pPr>
        <w:pStyle w:val="ListBullet"/>
      </w:pPr>
      <w:r>
        <w:rPr>
          <w:rFonts w:ascii="Calibri" w:hAnsi="Calibri" w:eastAsia="Calibri"/>
          <w:b w:val="0"/>
          <w:i w:val="0"/>
          <w:color w:val="1A1A1A"/>
          <w:sz w:val="22"/>
        </w:rPr>
        <w:t>It is not a licence to improve a live quantum after the draft has gone.</w:t>
      </w:r>
    </w:p>
    <w:p>
      <w:pPr>
        <w:pStyle w:val="ListBullet"/>
      </w:pPr>
      <w:r>
        <w:rPr>
          <w:rFonts w:ascii="Calibri" w:hAnsi="Calibri" w:eastAsia="Calibri"/>
          <w:b w:val="0"/>
          <w:i w:val="0"/>
          <w:color w:val="1A1A1A"/>
          <w:sz w:val="22"/>
        </w:rPr>
        <w:t>It is not a place to add LIBOR, SONIA or any other series because it “sounds right.” A series is only added when it can be named and pointed to, and when the owner has answered “agree.”</w:t>
      </w:r>
    </w:p>
    <w:p>
      <w:pPr>
        <w:pStyle w:val="ListBullet"/>
      </w:pPr>
      <w:r>
        <w:rPr>
          <w:rFonts w:ascii="Calibri" w:hAnsi="Calibri" w:eastAsia="Calibri"/>
          <w:b w:val="0"/>
          <w:i w:val="0"/>
          <w:color w:val="1A1A1A"/>
          <w:sz w:val="22"/>
        </w:rPr>
        <w:t>It is not optional. The product stays current because this happens every week, not because someone remembers once a quarter.</w:t>
      </w:r>
    </w:p>
    <w:sectPr w:rsidR="00FC693F" w:rsidRPr="0006063C" w:rsidSect="00034616">
      <w:headerReference w:type="default" r:id="rId9"/>
      <w:footerReference w:type="default" r:id="rId10"/>
      <w:pgSz w:w="12240" w:h="15840"/>
      <w:pgMar w:top="1474" w:right="1077" w:bottom="1020" w:left="1077" w:header="283"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rFonts w:ascii="Calibri" w:hAnsi="Calibri" w:eastAsia="Calibri"/>
        <w:b w:val="0"/>
        <w:i w:val="0"/>
        <w:color w:val="4A4A4A"/>
        <w:sz w:val="16"/>
      </w:rPr>
      <w:t>For the owner, and anyone who maintains the Calculator  ·  18 August 2026  ·  Not legal advice</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left"/>
    </w:pP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crimson-horse-logo.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i w:val="0"/>
        <w:color w:val="7A1F2B"/>
        <w:sz w:val="18"/>
      </w:rPr>
      <w:t xml:space="preserve">    CRIMSON HORSE</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