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b/>
          <w:color w:val="7A1F2B"/>
          <w:sz w:val="44"/>
        </w:rPr>
        <w:t>Operator briefing for each machine</w:t>
      </w:r>
    </w:p>
    <w:p>
      <w:r>
        <w:rPr>
          <w:i/>
          <w:color w:val="5A534E"/>
          <w:sz w:val="22"/>
        </w:rPr>
        <w:t>Put this file on every PC that will run a case. Open it before you open Grok.</w:t>
      </w:r>
    </w:p>
    <w:p>
      <w:pPr>
        <w:spacing w:before="280" w:after="120"/>
      </w:pPr>
      <w:r>
        <w:rPr>
          <w:rFonts w:ascii="Georgia" w:hAnsi="Georgia"/>
          <w:b/>
          <w:color w:val="7A1F2B"/>
          <w:sz w:val="32"/>
        </w:rPr>
        <w:t>What this is</w:t>
      </w:r>
    </w:p>
    <w:p>
      <w:pPr>
        <w:spacing w:after="160" w:line="276" w:lineRule="auto"/>
      </w:pPr>
      <w:r>
        <w:rPr>
          <w:rFonts w:ascii="Calibri" w:hAnsi="Calibri"/>
          <w:color w:val="1A1A1A"/>
          <w:sz w:val="22"/>
        </w:rPr>
        <w:t>This is the seat on a computer. It is not a website login and it is not Crimson Desk. A seat is: one person, signed into grok.com with their own Grok account, with this briefing and the working files on the machine, running one energy case at a time.</w:t>
      </w:r>
    </w:p>
    <w:p>
      <w:pPr>
        <w:spacing w:after="160" w:line="276" w:lineRule="auto"/>
      </w:pPr>
      <w:r>
        <w:rPr>
          <w:rFonts w:ascii="Calibri" w:hAnsi="Calibri"/>
          <w:color w:val="1A1A1A"/>
          <w:sz w:val="22"/>
        </w:rPr>
        <w:t>Grok is the reader and the writer. You are the operator. The solicitor is the only person who sets rates. A second reader is the four-eyes check. Nobody invents a number to fill a gap.</w:t>
      </w:r>
    </w:p>
    <w:p>
      <w:pPr>
        <w:spacing w:before="280" w:after="120"/>
      </w:pPr>
      <w:r>
        <w:rPr>
          <w:rFonts w:ascii="Georgia" w:hAnsi="Georgia"/>
          <w:b/>
          <w:color w:val="7A1F2B"/>
          <w:sz w:val="32"/>
        </w:rPr>
        <w:t>What lives on this PC</w:t>
      </w:r>
    </w:p>
    <w:p>
      <w:pPr>
        <w:pStyle w:val="ListBullet"/>
      </w:pPr>
      <w:r>
        <w:rPr>
          <w:rFonts w:ascii="Calibri" w:hAnsi="Calibri"/>
          <w:color w:val="1A1A1A"/>
          <w:sz w:val="22"/>
        </w:rPr>
        <w:t>This briefing (keep it on the desktop or in the Crimson Horse folder).</w:t>
      </w:r>
    </w:p>
    <w:p>
      <w:pPr>
        <w:pStyle w:val="ListBullet"/>
      </w:pPr>
      <w:r>
        <w:rPr>
          <w:rFonts w:ascii="Calibri" w:hAnsi="Calibri"/>
          <w:color w:val="1A1A1A"/>
          <w:sz w:val="22"/>
        </w:rPr>
        <w:t>The library zip, or at least: the Calculator, the empty Data Bridge, the four-eyes tick sheet.</w:t>
      </w:r>
    </w:p>
    <w:p>
      <w:pPr>
        <w:pStyle w:val="ListBullet"/>
      </w:pPr>
      <w:r>
        <w:rPr>
          <w:rFonts w:ascii="Calibri" w:hAnsi="Calibri"/>
          <w:color w:val="1A1A1A"/>
          <w:sz w:val="22"/>
        </w:rPr>
        <w:t>A working folder named for the case, containing only that client’s papers.</w:t>
      </w:r>
    </w:p>
    <w:p>
      <w:pPr>
        <w:pStyle w:val="ListBullet"/>
      </w:pPr>
      <w:r>
        <w:rPr>
          <w:rFonts w:ascii="Calibri" w:hAnsi="Calibri"/>
          <w:color w:val="1A1A1A"/>
          <w:sz w:val="22"/>
        </w:rPr>
        <w:t>A browser signed into grok.com as the operator who sits at this machine.</w:t>
      </w:r>
    </w:p>
    <w:p>
      <w:pPr>
        <w:spacing w:before="280" w:after="120"/>
      </w:pPr>
      <w:r>
        <w:rPr>
          <w:rFonts w:ascii="Georgia" w:hAnsi="Georgia"/>
          <w:b/>
          <w:color w:val="7A1F2B"/>
          <w:sz w:val="32"/>
        </w:rPr>
        <w:t>Sign-in — the one that matters</w:t>
      </w:r>
    </w:p>
    <w:p>
      <w:pPr>
        <w:spacing w:after="160" w:line="276" w:lineRule="auto"/>
      </w:pPr>
      <w:r>
        <w:rPr>
          <w:rFonts w:ascii="Calibri" w:hAnsi="Calibri"/>
          <w:color w:val="1A1A1A"/>
          <w:sz w:val="22"/>
        </w:rPr>
        <w:t>Use the Grok account you already have at grok.com. That is the legitimate login. There is no extra password for Crimson Horse. Google or X on a grok.me library page is not required to run a case.</w:t>
      </w:r>
    </w:p>
    <w:p>
      <w:pPr>
        <w:spacing w:after="160" w:line="276" w:lineRule="auto"/>
      </w:pPr>
      <w:r>
        <w:rPr>
          <w:rFonts w:ascii="Calibri" w:hAnsi="Calibri"/>
          <w:color w:val="1A1A1A"/>
          <w:sz w:val="22"/>
        </w:rPr>
        <w:t>A second or third PC is another person (or the same person later) signed into Grok on that machine, with a copy of this briefing and a copy of the working files. Nothing is installed beyond the browser and the folder.</w:t>
      </w:r>
    </w:p>
    <w:p>
      <w:pPr>
        <w:spacing w:before="280" w:after="120"/>
      </w:pPr>
      <w:r>
        <w:rPr>
          <w:rFonts w:ascii="Georgia" w:hAnsi="Georgia"/>
          <w:b/>
          <w:color w:val="7A1F2B"/>
          <w:sz w:val="32"/>
        </w:rPr>
        <w:t>The folder rule</w:t>
      </w:r>
    </w:p>
    <w:p>
      <w:pPr>
        <w:pStyle w:val="ListBullet"/>
      </w:pPr>
      <w:r>
        <w:rPr>
          <w:rFonts w:ascii="Calibri" w:hAnsi="Calibri"/>
          <w:color w:val="1A1A1A"/>
          <w:sz w:val="22"/>
        </w:rPr>
        <w:t>One client. One folder. No other clients in it.</w:t>
      </w:r>
    </w:p>
    <w:p>
      <w:pPr>
        <w:pStyle w:val="ListBullet"/>
      </w:pPr>
      <w:r>
        <w:rPr>
          <w:rFonts w:ascii="Calibri" w:hAnsi="Calibri"/>
          <w:color w:val="1A1A1A"/>
          <w:sz w:val="22"/>
        </w:rPr>
        <w:t>Wanted: contract or welcome letter; letter of authority if a broker was used; consecutive bills; renewal quotes if you have them.</w:t>
      </w:r>
    </w:p>
    <w:p>
      <w:pPr>
        <w:pStyle w:val="ListBullet"/>
      </w:pPr>
      <w:r>
        <w:rPr>
          <w:rFonts w:ascii="Calibri" w:hAnsi="Calibri"/>
          <w:color w:val="1A1A1A"/>
          <w:sz w:val="22"/>
        </w:rPr>
        <w:t>Hold out: mortgage files, credit files, AppleDouble files whose names start with ._</w:t>
      </w:r>
    </w:p>
    <w:p>
      <w:pPr>
        <w:pStyle w:val="ListBullet"/>
      </w:pPr>
      <w:r>
        <w:rPr>
          <w:rFonts w:ascii="Calibri" w:hAnsi="Calibri"/>
          <w:color w:val="1A1A1A"/>
          <w:sz w:val="22"/>
        </w:rPr>
        <w:t>If a file is the wrong type, leave it out. Do not hope Grok will ignore it.</w:t>
      </w:r>
    </w:p>
    <w:p>
      <w:pPr>
        <w:spacing w:before="280" w:after="120"/>
      </w:pPr>
      <w:r>
        <w:rPr>
          <w:rFonts w:ascii="Georgia" w:hAnsi="Georgia"/>
          <w:b/>
          <w:color w:val="7A1F2B"/>
          <w:sz w:val="32"/>
        </w:rPr>
        <w:t>Paste this into Grok at the start of the case</w:t>
      </w:r>
    </w:p>
    <w:p>
      <w:pPr>
        <w:spacing w:after="160" w:line="276" w:lineRule="auto"/>
      </w:pPr>
      <w:r>
        <w:rPr>
          <w:rFonts w:ascii="Calibri" w:hAnsi="Calibri"/>
          <w:color w:val="1A1A1A"/>
          <w:sz w:val="22"/>
        </w:rPr>
        <w:t>Copy the block below into a new Grok chat, then attach the papers from that one folder only.</w:t>
      </w:r>
    </w:p>
    <w:p>
      <w:pPr>
        <w:spacing w:after="240"/>
        <w:ind w:left="288"/>
      </w:pPr>
      <w:r>
        <w:rPr>
          <w:rFonts w:ascii="Calibri" w:hAnsi="Calibri"/>
          <w:color w:val="1A1A1A"/>
          <w:sz w:val="20"/>
        </w:rPr>
        <w:t>You are running Crimson Horse for one UK business energy case.</w:t>
        <w:br/>
        <w:t>Hard rules: copy only what is on the page. Never invent a rate, commission, wholesale price, interest percentage, or kWh. If it is not evidenced, leave it blank and list the action.</w:t>
        <w:br/>
        <w:t>Ignore mortgage, DSAR, NRAM and AppleDouble files.</w:t>
        <w:br/>
        <w:t>One client only.</w:t>
        <w:br/>
        <w:t>You are not a solicitor and not an expert. Do not give legal advice. Do not mention funding.</w:t>
        <w:br/>
        <w:t>Order of work: (1) intake list of files, held-out files, and what is missing; (2) Data Bridge facts — client, supplier, meters, contracts, bills; (3) blanks and required actions; (4) quantum only after I paste a solicitor instruction, using (A + B) − (C + D + E) and leaving any letter blank if it has no evidence or instruction; (5) hybrid valuation in plain English from those facts only; (6) stop for four-eyes before I issue anything.</w:t>
        <w:br/>
        <w:t>Wait for me to attach the folder and, if there is one, the solicitor note.</w:t>
      </w:r>
    </w:p>
    <w:p>
      <w:pPr>
        <w:spacing w:before="280" w:after="120"/>
      </w:pPr>
      <w:r>
        <w:rPr>
          <w:rFonts w:ascii="Georgia" w:hAnsi="Georgia"/>
          <w:b/>
          <w:color w:val="7A1F2B"/>
          <w:sz w:val="32"/>
        </w:rPr>
        <w:t>Order of work on this machine</w:t>
      </w:r>
    </w:p>
    <w:p>
      <w:pPr>
        <w:pStyle w:val="ListBullet"/>
      </w:pPr>
      <w:r>
        <w:rPr>
          <w:rFonts w:ascii="Calibri" w:hAnsi="Calibri"/>
          <w:color w:val="1A1A1A"/>
          <w:sz w:val="22"/>
        </w:rPr>
        <w:t>1. Intake — list every file, hold-outs, missing papers. Do not open the Calculator yet.</w:t>
      </w:r>
    </w:p>
    <w:p>
      <w:pPr>
        <w:pStyle w:val="ListBullet"/>
      </w:pPr>
      <w:r>
        <w:rPr>
          <w:rFonts w:ascii="Calibri" w:hAnsi="Calibri"/>
          <w:color w:val="1A1A1A"/>
          <w:sz w:val="22"/>
        </w:rPr>
        <w:t>2. Extract — Grok fills the Data Bridge. Empty cells stay empty.</w:t>
      </w:r>
    </w:p>
    <w:p>
      <w:pPr>
        <w:pStyle w:val="ListBullet"/>
      </w:pPr>
      <w:r>
        <w:rPr>
          <w:rFonts w:ascii="Calibri" w:hAnsi="Calibri"/>
          <w:color w:val="1A1A1A"/>
          <w:sz w:val="22"/>
        </w:rPr>
        <w:t>3. You check the Bridge against the papers. Correct only from the page.</w:t>
      </w:r>
    </w:p>
    <w:p>
      <w:pPr>
        <w:pStyle w:val="ListBullet"/>
      </w:pPr>
      <w:r>
        <w:rPr>
          <w:rFonts w:ascii="Calibri" w:hAnsi="Calibri"/>
          <w:color w:val="1A1A1A"/>
          <w:sz w:val="22"/>
        </w:rPr>
        <w:t>4. Solicitor instruction — if there is a written note, paste it. If there is not, leave B, C, D, E blank.</w:t>
      </w:r>
    </w:p>
    <w:p>
      <w:pPr>
        <w:pStyle w:val="ListBullet"/>
      </w:pPr>
      <w:r>
        <w:rPr>
          <w:rFonts w:ascii="Calibri" w:hAnsi="Calibri"/>
          <w:color w:val="1A1A1A"/>
          <w:sz w:val="22"/>
        </w:rPr>
        <w:t>5. Quantum — A is the evidenced spend. B, C, D, E only from that instruction.</w:t>
      </w:r>
    </w:p>
    <w:p>
      <w:pPr>
        <w:pStyle w:val="ListBullet"/>
      </w:pPr>
      <w:r>
        <w:rPr>
          <w:rFonts w:ascii="Calibri" w:hAnsi="Calibri"/>
          <w:color w:val="1A1A1A"/>
          <w:sz w:val="22"/>
        </w:rPr>
        <w:t>6. Report — Grok writes the hybrid valuation. You and a second reader tick four-eyes.</w:t>
      </w:r>
    </w:p>
    <w:p>
      <w:pPr>
        <w:pStyle w:val="ListBullet"/>
      </w:pPr>
      <w:r>
        <w:rPr>
          <w:rFonts w:ascii="Calibri" w:hAnsi="Calibri"/>
          <w:color w:val="1A1A1A"/>
          <w:sz w:val="22"/>
        </w:rPr>
        <w:t>7. Only then download or send the draft.</w:t>
      </w:r>
    </w:p>
    <w:p>
      <w:pPr>
        <w:spacing w:before="280" w:after="120"/>
      </w:pPr>
      <w:r>
        <w:rPr>
          <w:rFonts w:ascii="Georgia" w:hAnsi="Georgia"/>
          <w:b/>
          <w:color w:val="7A1F2B"/>
          <w:sz w:val="32"/>
        </w:rPr>
        <w:t>Hard rules (do not relax these on a busy day)</w:t>
      </w:r>
    </w:p>
    <w:p>
      <w:pPr>
        <w:pStyle w:val="ListBullet"/>
      </w:pPr>
      <w:r>
        <w:rPr>
          <w:rFonts w:ascii="Calibri" w:hAnsi="Calibri"/>
          <w:color w:val="1A1A1A"/>
          <w:sz w:val="22"/>
        </w:rPr>
        <w:t>No invented rates. No ‘usual 8%’. No ‘usual 40%’ unless the solicitor’s note on this case says so.</w:t>
      </w:r>
    </w:p>
    <w:p>
      <w:pPr>
        <w:pStyle w:val="ListBullet"/>
      </w:pPr>
      <w:r>
        <w:rPr>
          <w:rFonts w:ascii="Calibri" w:hAnsi="Calibri"/>
          <w:color w:val="1A1A1A"/>
          <w:sz w:val="22"/>
        </w:rPr>
        <w:t>A method that cannot run stays blank, not zero.</w:t>
      </w:r>
    </w:p>
    <w:p>
      <w:pPr>
        <w:pStyle w:val="ListBullet"/>
      </w:pPr>
      <w:r>
        <w:rPr>
          <w:rFonts w:ascii="Calibri" w:hAnsi="Calibri"/>
          <w:color w:val="1A1A1A"/>
          <w:sz w:val="22"/>
        </w:rPr>
        <w:t>Estimated bills only if the solicitor has instructed that, and the row is marked estimated.</w:t>
      </w:r>
    </w:p>
    <w:p>
      <w:pPr>
        <w:pStyle w:val="ListBullet"/>
      </w:pPr>
      <w:r>
        <w:rPr>
          <w:rFonts w:ascii="Calibri" w:hAnsi="Calibri"/>
          <w:color w:val="1A1A1A"/>
          <w:sz w:val="22"/>
        </w:rPr>
        <w:t>Batch of twenty is off. One case.</w:t>
      </w:r>
    </w:p>
    <w:p>
      <w:pPr>
        <w:pStyle w:val="ListBullet"/>
      </w:pPr>
      <w:r>
        <w:rPr>
          <w:rFonts w:ascii="Calibri" w:hAnsi="Calibri"/>
          <w:color w:val="1A1A1A"/>
          <w:sz w:val="22"/>
        </w:rPr>
        <w:t>This note is not a CPR Part 35 report and not legal advice.</w:t>
      </w:r>
    </w:p>
    <w:p>
      <w:pPr>
        <w:spacing w:before="280" w:after="120"/>
      </w:pPr>
      <w:r>
        <w:rPr>
          <w:rFonts w:ascii="Georgia" w:hAnsi="Georgia"/>
          <w:b/>
          <w:color w:val="7A1F2B"/>
          <w:sz w:val="32"/>
        </w:rPr>
        <w:t>Four-eyes</w:t>
      </w:r>
    </w:p>
    <w:p>
      <w:pPr>
        <w:spacing w:after="160" w:line="276" w:lineRule="auto"/>
      </w:pPr>
      <w:r>
        <w:rPr>
          <w:rFonts w:ascii="Calibri" w:hAnsi="Calibri"/>
          <w:color w:val="1A1A1A"/>
          <w:sz w:val="22"/>
        </w:rPr>
        <w:t>A second person checks names, meters, dates, units, rates, blanks, and that no rate was invented. A draft without that tick is not issued. Use the four-eyes tick sheet in the library.</w:t>
      </w:r>
    </w:p>
    <w:p>
      <w:pPr>
        <w:spacing w:before="280" w:after="120"/>
      </w:pPr>
      <w:r>
        <w:rPr>
          <w:rFonts w:ascii="Georgia" w:hAnsi="Georgia"/>
          <w:b/>
          <w:color w:val="7A1F2B"/>
          <w:sz w:val="32"/>
        </w:rPr>
        <w:t>Where the other notes live</w:t>
      </w:r>
    </w:p>
    <w:p>
      <w:pPr>
        <w:spacing w:after="160" w:line="276" w:lineRule="auto"/>
      </w:pPr>
      <w:r>
        <w:rPr>
          <w:rFonts w:ascii="Calibri" w:hAnsi="Calibri"/>
          <w:color w:val="1A1A1A"/>
          <w:sz w:val="22"/>
        </w:rPr>
        <w:t>The Crimson Horse library (the website you already use, and the zip on this machine) holds the Calculator, the Data Bridge, the delivery plan, the document list, and the sample reports. This briefing is the one page you open first on the PC. It is also posted on the library so every machine can download the same file.</w:t>
      </w:r>
    </w:p>
    <w:p>
      <w:pPr>
        <w:spacing w:before="280" w:after="120"/>
      </w:pPr>
      <w:r>
        <w:rPr>
          <w:rFonts w:ascii="Georgia" w:hAnsi="Georgia"/>
          <w:b/>
          <w:color w:val="7A1F2B"/>
          <w:sz w:val="32"/>
        </w:rPr>
        <w:t>What this briefing is not</w:t>
      </w:r>
    </w:p>
    <w:p>
      <w:pPr>
        <w:pStyle w:val="ListBullet"/>
      </w:pPr>
      <w:r>
        <w:rPr>
          <w:rFonts w:ascii="Calibri" w:hAnsi="Calibri"/>
          <w:color w:val="1A1A1A"/>
          <w:sz w:val="22"/>
        </w:rPr>
        <w:t>Not a login to a separate Crimson website.</w:t>
      </w:r>
    </w:p>
    <w:p>
      <w:pPr>
        <w:pStyle w:val="ListBullet"/>
      </w:pPr>
      <w:r>
        <w:rPr>
          <w:rFonts w:ascii="Calibri" w:hAnsi="Calibri"/>
          <w:color w:val="1A1A1A"/>
          <w:sz w:val="22"/>
        </w:rPr>
        <w:t>Not permission to guess a wholesale price or an interest rate.</w:t>
      </w:r>
    </w:p>
    <w:p>
      <w:pPr>
        <w:pStyle w:val="ListBullet"/>
      </w:pPr>
      <w:r>
        <w:rPr>
          <w:rFonts w:ascii="Calibri" w:hAnsi="Calibri"/>
          <w:color w:val="1A1A1A"/>
          <w:sz w:val="22"/>
        </w:rPr>
        <w:t>Not a way to run twenty cases in one pile.</w:t>
      </w:r>
    </w:p>
    <w:p>
      <w:r>
        <w:rPr>
          <w:i/>
          <w:color w:val="5A534E"/>
          <w:sz w:val="20"/>
        </w:rPr>
        <w:t>Crimson Horse · one case first · no invented rates</w:t>
      </w:r>
    </w:p>
    <w:sectPr w:rsidR="00FC693F" w:rsidRPr="0006063C" w:rsidSect="00034616">
      <w:headerReference w:type="default" r:id="rId9"/>
      <w:footerReference w:type="default" r:id="rId10"/>
      <w:pgSz w:w="12240" w:h="15840"/>
      <w:pgMar w:top="1584"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i/>
        <w:color w:val="5A534E"/>
        <w:sz w:val="16"/>
      </w:rPr>
      <w:t>Crimson Horse · operator briefing · one case · not legal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335101" cy="502920"/>
          <wp:docPr id="1" name="Picture 1"/>
          <wp:cNvGraphicFramePr>
            <a:graphicFrameLocks noChangeAspect="1"/>
          </wp:cNvGraphicFramePr>
          <a:graphic>
            <a:graphicData uri="http://schemas.openxmlformats.org/drawingml/2006/picture">
              <pic:pic>
                <pic:nvPicPr>
                  <pic:cNvPr id="0" name="crimson-horse-logo.png"/>
                  <pic:cNvPicPr/>
                </pic:nvPicPr>
                <pic:blipFill>
                  <a:blip r:embed="rId1"/>
                  <a:stretch>
                    <a:fillRect/>
                  </a:stretch>
                </pic:blipFill>
                <pic:spPr>
                  <a:xfrm>
                    <a:off x="0" y="0"/>
                    <a:ext cx="335101" cy="50292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