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 w:eastAsia="Calibri"/>
          <w:b/>
          <w:i w:val="0"/>
          <w:color w:val="7A1F2B"/>
          <w:sz w:val="24"/>
        </w:rPr>
        <w:t>CRIMSON HORSE</w:t>
      </w:r>
    </w:p>
    <w:p>
      <w:r>
        <w:rPr>
          <w:rFonts w:ascii="Calibri" w:hAnsi="Calibri" w:eastAsia="Calibri"/>
          <w:b/>
          <w:i w:val="0"/>
          <w:color w:val="7A1F2B"/>
          <w:sz w:val="44"/>
        </w:rPr>
        <w:t>Go-live checklist</w:t>
      </w:r>
    </w:p>
    <w:p>
      <w:r>
        <w:rPr>
          <w:rFonts w:ascii="Calibri" w:hAnsi="Calibri" w:eastAsia="Calibri"/>
          <w:b w:val="0"/>
          <w:i w:val="0"/>
          <w:color w:val="4A4A4A"/>
          <w:sz w:val="24"/>
        </w:rPr>
        <w:t>Tick these before the first draft leaves the desk.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If a box cannot be ticked, the draft stays on the desk.</w:t>
      </w:r>
    </w:p>
    <w:p>
      <w:pPr>
        <w:pStyle w:val="Heading1"/>
      </w:pPr>
      <w:r>
        <w:rPr>
          <w:rFonts w:ascii="Calibri" w:hAnsi="Calibri"/>
          <w:color w:val="7A1F2B"/>
        </w:rPr>
        <w:t>Folder and files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Tick</w:t>
            </w:r>
          </w:p>
        </w:tc>
        <w:tc>
          <w:tcPr>
            <w:tcW w:type="dxa" w:w="5043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Check</w:t>
            </w:r>
          </w:p>
        </w:tc>
      </w:tr>
      <w:tr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One case only in the folder. No other client.</w:t>
            </w:r>
          </w:p>
        </w:tc>
      </w:tr>
      <w:tr>
        <w:tc>
          <w:tcPr>
            <w:tcW w:type="dxa" w:w="5043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No AppleDouble ._ files.</w:t>
            </w:r>
          </w:p>
        </w:tc>
      </w:tr>
      <w:tr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No mortgage SAR in this folder.</w:t>
            </w:r>
          </w:p>
        </w:tc>
      </w:tr>
      <w:tr>
        <w:tc>
          <w:tcPr>
            <w:tcW w:type="dxa" w:w="5043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Contract or welcome letter is present, or the blank is listed.</w:t>
            </w:r>
          </w:p>
        </w:tc>
      </w:tr>
      <w:tr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Bills for the claimed period are present, or the gap is listed.</w:t>
            </w:r>
          </w:p>
        </w:tc>
      </w:tr>
      <w:tr>
        <w:tc>
          <w:tcPr>
            <w:tcW w:type="dxa" w:w="5043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LOA is present if a broker appears on the papers, or the blank is listed.</w:t>
            </w:r>
          </w:p>
        </w:tc>
      </w:tr>
    </w:tbl>
    <w:p/>
    <w:p>
      <w:pPr>
        <w:pStyle w:val="Heading1"/>
      </w:pPr>
      <w:r>
        <w:rPr>
          <w:rFonts w:ascii="Calibri" w:hAnsi="Calibri"/>
          <w:color w:val="7A1F2B"/>
        </w:rPr>
        <w:t>Extract and Bridge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Tick</w:t>
            </w:r>
          </w:p>
        </w:tc>
        <w:tc>
          <w:tcPr>
            <w:tcW w:type="dxa" w:w="5043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Check</w:t>
            </w:r>
          </w:p>
        </w:tc>
      </w:tr>
      <w:tr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Intake report saved next to the Bridge.</w:t>
            </w:r>
          </w:p>
        </w:tc>
      </w:tr>
      <w:tr>
        <w:tc>
          <w:tcPr>
            <w:tcW w:type="dxa" w:w="5043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File count on the intake report matches the folder.</w:t>
            </w:r>
          </w:p>
        </w:tc>
      </w:tr>
      <w:tr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Every Bridge row has a source file name.</w:t>
            </w:r>
          </w:p>
        </w:tc>
      </w:tr>
      <w:tr>
        <w:tc>
          <w:tcPr>
            <w:tcW w:type="dxa" w:w="5043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Blanks_and_Actions has a line for every empty required field.</w:t>
            </w:r>
          </w:p>
        </w:tc>
      </w:tr>
      <w:tr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No commission, interest or imputed-bill flag without a solicitor instruction on the file.</w:t>
            </w:r>
          </w:p>
        </w:tc>
      </w:tr>
    </w:tbl>
    <w:p/>
    <w:p>
      <w:pPr>
        <w:pStyle w:val="Heading1"/>
      </w:pPr>
      <w:r>
        <w:rPr>
          <w:rFonts w:ascii="Calibri" w:hAnsi="Calibri"/>
          <w:color w:val="7A1F2B"/>
        </w:rPr>
        <w:t>Calculator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Tick</w:t>
            </w:r>
          </w:p>
        </w:tc>
        <w:tc>
          <w:tcPr>
            <w:tcW w:type="dxa" w:w="5043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Check</w:t>
            </w:r>
          </w:p>
        </w:tc>
      </w:tr>
      <w:tr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The live Calculator is v2.10 (or the version the owner has frozen).</w:t>
            </w:r>
          </w:p>
        </w:tc>
      </w:tr>
      <w:tr>
        <w:tc>
          <w:tcPr>
            <w:tcW w:type="dxa" w:w="5043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Figures typed or loaded match the Bridge. Spot-check at least three cells.</w:t>
            </w:r>
          </w:p>
        </w:tc>
      </w:tr>
      <w:tr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Any Method that cannot run is blank in the report, not zeroed to look complete.</w:t>
            </w:r>
          </w:p>
        </w:tc>
      </w:tr>
    </w:tbl>
    <w:p/>
    <w:p>
      <w:pPr>
        <w:pStyle w:val="Heading1"/>
      </w:pPr>
      <w:r>
        <w:rPr>
          <w:rFonts w:ascii="Calibri" w:hAnsi="Calibri"/>
          <w:color w:val="7A1F2B"/>
        </w:rPr>
        <w:t>Report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Tick</w:t>
            </w:r>
          </w:p>
        </w:tc>
        <w:tc>
          <w:tcPr>
            <w:tcW w:type="dxa" w:w="5043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Check</w:t>
            </w:r>
          </w:p>
        </w:tc>
      </w:tr>
      <w:tr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Names, address, MPAN/MPRN, dates and kWh match the source pages.</w:t>
            </w:r>
          </w:p>
        </w:tc>
      </w:tr>
      <w:tr>
        <w:tc>
          <w:tcPr>
            <w:tcW w:type="dxa" w:w="5043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Document schedule lists every file used.</w:t>
            </w:r>
          </w:p>
        </w:tc>
      </w:tr>
      <w:tr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Empty appendices have not been issued.</w:t>
            </w:r>
          </w:p>
        </w:tc>
      </w:tr>
      <w:tr>
        <w:tc>
          <w:tcPr>
            <w:tcW w:type="dxa" w:w="5043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The report does not give legal advice and does not call itself an expert report.</w:t>
            </w:r>
          </w:p>
        </w:tc>
      </w:tr>
      <w:tr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Four-eyes tick is signed and dated.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474" w:right="1077" w:bottom="1020" w:left="1077" w:header="283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Calibri" w:hAnsi="Calibri" w:eastAsia="Calibri"/>
        <w:b w:val="0"/>
        <w:i w:val="0"/>
        <w:color w:val="4A4A4A"/>
        <w:sz w:val="16"/>
      </w:rPr>
      <w:t>For operators and reviewers  ·  18 August 2026  ·  Not legal advice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/>
    <w:r>
      <w:rPr>
        <w:rFonts w:ascii="Calibri" w:hAnsi="Calibri" w:eastAsia="Calibri"/>
        <w:b/>
        <w:i w:val="0"/>
        <w:color w:val="7A1F2B"/>
        <w:sz w:val="18"/>
      </w:rPr>
      <w:t xml:space="preserve">    CRIMSON HORSE  ·  launch note</w:t>
    </w:r>
    <w:r>
      <w:drawing>
        <wp:inline xmlns:a="http://schemas.openxmlformats.org/drawingml/2006/main" xmlns:pic="http://schemas.openxmlformats.org/drawingml/2006/picture">
          <wp:extent cx="335101" cy="5029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5101" cy="5029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