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Calibri" w:hAnsi="Calibri" w:eastAsia="Calibri"/>
          <w:b/>
          <w:i w:val="0"/>
          <w:color w:val="7A1F2B"/>
          <w:sz w:val="24"/>
        </w:rPr>
        <w:t>CRIMSON HORSE</w:t>
      </w:r>
    </w:p>
    <w:p>
      <w:r>
        <w:rPr>
          <w:rFonts w:ascii="Calibri" w:hAnsi="Calibri" w:eastAsia="Calibri"/>
          <w:b/>
          <w:i w:val="0"/>
          <w:color w:val="7A1F2B"/>
          <w:sz w:val="44"/>
        </w:rPr>
        <w:t>Four-eyes tick sheet</w:t>
      </w:r>
    </w:p>
    <w:p>
      <w:r>
        <w:rPr>
          <w:rFonts w:ascii="Calibri" w:hAnsi="Calibri" w:eastAsia="Calibri"/>
          <w:b w:val="0"/>
          <w:i w:val="0"/>
          <w:color w:val="4A4A4A"/>
          <w:sz w:val="24"/>
        </w:rPr>
        <w:t>The second person completes this before a draft leaves the desk. One sheet per case.</w:t>
      </w:r>
    </w:p>
    <w:p>
      <w:pPr>
        <w:spacing w:after="160"/>
      </w:pPr>
      <w:r>
        <w:rPr>
          <w:rFonts w:ascii="Calibri" w:hAnsi="Calibri" w:eastAsia="Calibri"/>
          <w:b w:val="0"/>
          <w:i w:val="0"/>
          <w:color w:val="1A1A1A"/>
          <w:sz w:val="22"/>
        </w:rPr>
        <w:t>This is a check of facts against the pages. It is not legal advice and it is not a sign-off of a claim.</w:t>
      </w:r>
    </w:p>
    <w:p>
      <w:pPr>
        <w:pStyle w:val="Heading1"/>
      </w:pPr>
      <w:r>
        <w:rPr>
          <w:rFonts w:ascii="Calibri" w:hAnsi="Calibri"/>
          <w:color w:val="7A1F2B"/>
        </w:rPr>
        <w:t>Case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5043"/>
            <w:shd w:fill="7A1F2B" w:val="clear"/>
          </w:tcPr>
          <w:p>
            <w:r/>
            <w:r>
              <w:rPr>
                <w:rFonts w:ascii="Calibri" w:hAnsi="Calibri" w:eastAsia="Calibri"/>
                <w:b/>
                <w:i w:val="0"/>
                <w:color w:val="FFFFFF"/>
                <w:sz w:val="20"/>
              </w:rPr>
              <w:t>Item</w:t>
            </w:r>
          </w:p>
        </w:tc>
        <w:tc>
          <w:tcPr>
            <w:tcW w:type="dxa" w:w="5043"/>
            <w:shd w:fill="7A1F2B" w:val="clear"/>
          </w:tcPr>
          <w:p>
            <w:r/>
            <w:r>
              <w:rPr>
                <w:rFonts w:ascii="Calibri" w:hAnsi="Calibri" w:eastAsia="Calibri"/>
                <w:b/>
                <w:i w:val="0"/>
                <w:color w:val="FFFFFF"/>
                <w:sz w:val="20"/>
              </w:rPr>
              <w:t>Write it here</w:t>
            </w:r>
          </w:p>
        </w:tc>
      </w:tr>
      <w:tr>
        <w:tc>
          <w:tcPr>
            <w:tcW w:type="dxa" w:w="5043"/>
          </w:tcPr>
          <w:p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Case name / number</w:t>
            </w:r>
          </w:p>
        </w:tc>
        <w:tc>
          <w:tcPr>
            <w:tcW w:type="dxa" w:w="5043"/>
          </w:tcPr>
          <w:p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</w:r>
          </w:p>
        </w:tc>
      </w:tr>
      <w:tr>
        <w:tc>
          <w:tcPr>
            <w:tcW w:type="dxa" w:w="5043"/>
            <w:shd w:fill="F4EFE6" w:val="clear"/>
          </w:tcPr>
          <w:p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Operator (first pair of eyes)</w:t>
            </w:r>
          </w:p>
        </w:tc>
        <w:tc>
          <w:tcPr>
            <w:tcW w:type="dxa" w:w="5043"/>
            <w:shd w:fill="F4EFE6" w:val="clear"/>
          </w:tcPr>
          <w:p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</w:r>
          </w:p>
        </w:tc>
      </w:tr>
      <w:tr>
        <w:tc>
          <w:tcPr>
            <w:tcW w:type="dxa" w:w="5043"/>
          </w:tcPr>
          <w:p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Reviewer (second pair of eyes)</w:t>
            </w:r>
          </w:p>
        </w:tc>
        <w:tc>
          <w:tcPr>
            <w:tcW w:type="dxa" w:w="5043"/>
          </w:tcPr>
          <w:p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</w:r>
          </w:p>
        </w:tc>
      </w:tr>
      <w:tr>
        <w:tc>
          <w:tcPr>
            <w:tcW w:type="dxa" w:w="5043"/>
            <w:shd w:fill="F4EFE6" w:val="clear"/>
          </w:tcPr>
          <w:p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Date of this tick</w:t>
            </w:r>
          </w:p>
        </w:tc>
        <w:tc>
          <w:tcPr>
            <w:tcW w:type="dxa" w:w="5043"/>
            <w:shd w:fill="F4EFE6" w:val="clear"/>
          </w:tcPr>
          <w:p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</w:r>
          </w:p>
        </w:tc>
      </w:tr>
      <w:tr>
        <w:tc>
          <w:tcPr>
            <w:tcW w:type="dxa" w:w="5043"/>
          </w:tcPr>
          <w:p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Calculator version on the desk</w:t>
            </w:r>
          </w:p>
        </w:tc>
        <w:tc>
          <w:tcPr>
            <w:tcW w:type="dxa" w:w="5043"/>
          </w:tcPr>
          <w:p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</w:r>
          </w:p>
        </w:tc>
      </w:tr>
    </w:tbl>
    <w:p/>
    <w:p>
      <w:pPr>
        <w:pStyle w:val="Heading1"/>
      </w:pPr>
      <w:r>
        <w:rPr>
          <w:rFonts w:ascii="Calibri" w:hAnsi="Calibri"/>
          <w:color w:val="7A1F2B"/>
        </w:rPr>
        <w:t>What the reviewer ticks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5043"/>
            <w:shd w:fill="7A1F2B" w:val="clear"/>
          </w:tcPr>
          <w:p>
            <w:r/>
            <w:r>
              <w:rPr>
                <w:rFonts w:ascii="Calibri" w:hAnsi="Calibri" w:eastAsia="Calibri"/>
                <w:b/>
                <w:i w:val="0"/>
                <w:color w:val="FFFFFF"/>
                <w:sz w:val="20"/>
              </w:rPr>
              <w:t>Tick</w:t>
            </w:r>
          </w:p>
        </w:tc>
        <w:tc>
          <w:tcPr>
            <w:tcW w:type="dxa" w:w="5043"/>
            <w:shd w:fill="7A1F2B" w:val="clear"/>
          </w:tcPr>
          <w:p>
            <w:r/>
            <w:r>
              <w:rPr>
                <w:rFonts w:ascii="Calibri" w:hAnsi="Calibri" w:eastAsia="Calibri"/>
                <w:b/>
                <w:i w:val="0"/>
                <w:color w:val="FFFFFF"/>
                <w:sz w:val="20"/>
              </w:rPr>
              <w:t>Check</w:t>
            </w:r>
          </w:p>
        </w:tc>
      </w:tr>
      <w:tr>
        <w:tc>
          <w:tcPr>
            <w:tcW w:type="dxa" w:w="5043"/>
          </w:tcPr>
          <w:p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043"/>
          </w:tcPr>
          <w:p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The folder contains one case only.</w:t>
            </w:r>
          </w:p>
        </w:tc>
      </w:tr>
      <w:tr>
        <w:tc>
          <w:tcPr>
            <w:tcW w:type="dxa" w:w="5043"/>
            <w:shd w:fill="F4EFE6" w:val="clear"/>
          </w:tcPr>
          <w:p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043"/>
            <w:shd w:fill="F4EFE6" w:val="clear"/>
          </w:tcPr>
          <w:p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Names, address and meter numbers match the source pages.</w:t>
            </w:r>
          </w:p>
        </w:tc>
      </w:tr>
      <w:tr>
        <w:tc>
          <w:tcPr>
            <w:tcW w:type="dxa" w:w="5043"/>
          </w:tcPr>
          <w:p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043"/>
          </w:tcPr>
          <w:p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Contract or welcome dates match the Data Bridge.</w:t>
            </w:r>
          </w:p>
        </w:tc>
      </w:tr>
      <w:tr>
        <w:tc>
          <w:tcPr>
            <w:tcW w:type="dxa" w:w="5043"/>
            <w:shd w:fill="F4EFE6" w:val="clear"/>
          </w:tcPr>
          <w:p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043"/>
            <w:shd w:fill="F4EFE6" w:val="clear"/>
          </w:tcPr>
          <w:p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Bill periods, units used and unit rates match the source bills.</w:t>
            </w:r>
          </w:p>
        </w:tc>
      </w:tr>
      <w:tr>
        <w:tc>
          <w:tcPr>
            <w:tcW w:type="dxa" w:w="5043"/>
          </w:tcPr>
          <w:p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043"/>
          </w:tcPr>
          <w:p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Every Data Bridge row names the file it came from.</w:t>
            </w:r>
          </w:p>
        </w:tc>
      </w:tr>
      <w:tr>
        <w:tc>
          <w:tcPr>
            <w:tcW w:type="dxa" w:w="5043"/>
            <w:shd w:fill="F4EFE6" w:val="clear"/>
          </w:tcPr>
          <w:p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043"/>
            <w:shd w:fill="F4EFE6" w:val="clear"/>
          </w:tcPr>
          <w:p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Every empty required cell is on the blanks list, with an action.</w:t>
            </w:r>
          </w:p>
        </w:tc>
      </w:tr>
      <w:tr>
        <w:tc>
          <w:tcPr>
            <w:tcW w:type="dxa" w:w="5043"/>
          </w:tcPr>
          <w:p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043"/>
          </w:tcPr>
          <w:p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No commission, interest or estimated bill is present unless a solicitor instruction is on this file.</w:t>
            </w:r>
          </w:p>
        </w:tc>
      </w:tr>
      <w:tr>
        <w:tc>
          <w:tcPr>
            <w:tcW w:type="dxa" w:w="5043"/>
            <w:shd w:fill="F4EFE6" w:val="clear"/>
          </w:tcPr>
          <w:p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043"/>
            <w:shd w:fill="F4EFE6" w:val="clear"/>
          </w:tcPr>
          <w:p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No figure in the Calculator is missing from the Data Bridge.</w:t>
            </w:r>
          </w:p>
        </w:tc>
      </w:tr>
      <w:tr>
        <w:tc>
          <w:tcPr>
            <w:tcW w:type="dxa" w:w="5043"/>
          </w:tcPr>
          <w:p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043"/>
          </w:tcPr>
          <w:p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A method that cannot run is blank in the report, not set to zero.</w:t>
            </w:r>
          </w:p>
        </w:tc>
      </w:tr>
      <w:tr>
        <w:tc>
          <w:tcPr>
            <w:tcW w:type="dxa" w:w="5043"/>
            <w:shd w:fill="F4EFE6" w:val="clear"/>
          </w:tcPr>
          <w:p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043"/>
            <w:shd w:fill="F4EFE6" w:val="clear"/>
          </w:tcPr>
          <w:p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The document list in the report matches the folder.</w:t>
            </w:r>
          </w:p>
        </w:tc>
      </w:tr>
      <w:tr>
        <w:tc>
          <w:tcPr>
            <w:tcW w:type="dxa" w:w="5043"/>
          </w:tcPr>
          <w:p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043"/>
          </w:tcPr>
          <w:p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Empty appendices have not been issued.</w:t>
            </w:r>
          </w:p>
        </w:tc>
      </w:tr>
      <w:tr>
        <w:tc>
          <w:tcPr>
            <w:tcW w:type="dxa" w:w="5043"/>
            <w:shd w:fill="F4EFE6" w:val="clear"/>
          </w:tcPr>
          <w:p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043"/>
            <w:shd w:fill="F4EFE6" w:val="clear"/>
          </w:tcPr>
          <w:p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The report does not give legal advice and does not call itself an expert report.</w:t>
            </w:r>
          </w:p>
        </w:tc>
      </w:tr>
    </w:tbl>
    <w:p/>
    <w:p>
      <w:pPr>
        <w:pStyle w:val="Heading1"/>
      </w:pPr>
      <w:r>
        <w:rPr>
          <w:rFonts w:ascii="Calibri" w:hAnsi="Calibri"/>
          <w:color w:val="7A1F2B"/>
        </w:rPr>
        <w:t>Decision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5043"/>
            <w:shd w:fill="7A1F2B" w:val="clear"/>
          </w:tcPr>
          <w:p>
            <w:r/>
            <w:r>
              <w:rPr>
                <w:rFonts w:ascii="Calibri" w:hAnsi="Calibri" w:eastAsia="Calibri"/>
                <w:b/>
                <w:i w:val="0"/>
                <w:color w:val="FFFFFF"/>
                <w:sz w:val="20"/>
              </w:rPr>
              <w:t>Tick one</w:t>
            </w:r>
          </w:p>
        </w:tc>
        <w:tc>
          <w:tcPr>
            <w:tcW w:type="dxa" w:w="5043"/>
            <w:shd w:fill="7A1F2B" w:val="clear"/>
          </w:tcPr>
          <w:p>
            <w:r/>
            <w:r>
              <w:rPr>
                <w:rFonts w:ascii="Calibri" w:hAnsi="Calibri" w:eastAsia="Calibri"/>
                <w:b/>
                <w:i w:val="0"/>
                <w:color w:val="FFFFFF"/>
                <w:sz w:val="20"/>
              </w:rPr>
              <w:t>Meaning</w:t>
            </w:r>
          </w:p>
        </w:tc>
      </w:tr>
      <w:tr>
        <w:tc>
          <w:tcPr>
            <w:tcW w:type="dxa" w:w="5043"/>
          </w:tcPr>
          <w:p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☐  Draft may leave the desk</w:t>
            </w:r>
          </w:p>
        </w:tc>
        <w:tc>
          <w:tcPr>
            <w:tcW w:type="dxa" w:w="5043"/>
          </w:tcPr>
          <w:p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Every box above is ticked.</w:t>
            </w:r>
          </w:p>
        </w:tc>
      </w:tr>
      <w:tr>
        <w:tc>
          <w:tcPr>
            <w:tcW w:type="dxa" w:w="5043"/>
            <w:shd w:fill="F4EFE6" w:val="clear"/>
          </w:tcPr>
          <w:p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☐  Draft stays</w:t>
            </w:r>
          </w:p>
        </w:tc>
        <w:tc>
          <w:tcPr>
            <w:tcW w:type="dxa" w:w="5043"/>
            <w:shd w:fill="F4EFE6" w:val="clear"/>
          </w:tcPr>
          <w:p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Write below which box failed and what must be obtained.</w:t>
            </w:r>
          </w:p>
        </w:tc>
      </w:tr>
    </w:tbl>
    <w:p/>
    <w:p>
      <w:pPr>
        <w:spacing w:after="160"/>
      </w:pPr>
      <w:r>
        <w:rPr>
          <w:rFonts w:ascii="Calibri" w:hAnsi="Calibri" w:eastAsia="Calibri"/>
          <w:b w:val="0"/>
          <w:i w:val="0"/>
          <w:color w:val="1A1A1A"/>
          <w:sz w:val="22"/>
        </w:rPr>
        <w:t>If the draft stays, write the reason here:</w:t>
      </w:r>
    </w:p>
    <w:p>
      <w:pPr>
        <w:spacing w:after="160"/>
      </w:pPr>
      <w:r>
        <w:rPr>
          <w:rFonts w:ascii="Calibri" w:hAnsi="Calibri" w:eastAsia="Calibri"/>
          <w:b w:val="0"/>
          <w:i w:val="0"/>
          <w:color w:val="1A1A1A"/>
          <w:sz w:val="22"/>
        </w:rPr>
        <w:t>________________________________________________________________</w:t>
      </w:r>
    </w:p>
    <w:p>
      <w:pPr>
        <w:spacing w:after="160"/>
      </w:pPr>
      <w:r>
        <w:rPr>
          <w:rFonts w:ascii="Calibri" w:hAnsi="Calibri" w:eastAsia="Calibri"/>
          <w:b w:val="0"/>
          <w:i w:val="0"/>
          <w:color w:val="1A1A1A"/>
          <w:sz w:val="22"/>
        </w:rPr>
        <w:t>________________________________________________________________</w:t>
      </w:r>
    </w:p>
    <w:p>
      <w:pPr>
        <w:pStyle w:val="Heading1"/>
      </w:pPr>
      <w:r>
        <w:rPr>
          <w:rFonts w:ascii="Calibri" w:hAnsi="Calibri"/>
          <w:color w:val="7A1F2B"/>
        </w:rPr>
        <w:t>Signatures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7A1F2B" w:val="clear"/>
          </w:tcPr>
          <w:p>
            <w:r/>
            <w:r>
              <w:rPr>
                <w:rFonts w:ascii="Calibri" w:hAnsi="Calibri" w:eastAsia="Calibri"/>
                <w:b/>
                <w:i w:val="0"/>
                <w:color w:val="FFFFFF"/>
                <w:sz w:val="20"/>
              </w:rPr>
              <w:t>Role</w:t>
            </w:r>
          </w:p>
        </w:tc>
        <w:tc>
          <w:tcPr>
            <w:tcW w:type="dxa" w:w="2521"/>
            <w:shd w:fill="7A1F2B" w:val="clear"/>
          </w:tcPr>
          <w:p>
            <w:r/>
            <w:r>
              <w:rPr>
                <w:rFonts w:ascii="Calibri" w:hAnsi="Calibri" w:eastAsia="Calibri"/>
                <w:b/>
                <w:i w:val="0"/>
                <w:color w:val="FFFFFF"/>
                <w:sz w:val="20"/>
              </w:rPr>
              <w:t>Name</w:t>
            </w:r>
          </w:p>
        </w:tc>
        <w:tc>
          <w:tcPr>
            <w:tcW w:type="dxa" w:w="2521"/>
            <w:shd w:fill="7A1F2B" w:val="clear"/>
          </w:tcPr>
          <w:p>
            <w:r/>
            <w:r>
              <w:rPr>
                <w:rFonts w:ascii="Calibri" w:hAnsi="Calibri" w:eastAsia="Calibri"/>
                <w:b/>
                <w:i w:val="0"/>
                <w:color w:val="FFFFFF"/>
                <w:sz w:val="20"/>
              </w:rPr>
              <w:t>Signature</w:t>
            </w:r>
          </w:p>
        </w:tc>
        <w:tc>
          <w:tcPr>
            <w:tcW w:type="dxa" w:w="2521"/>
            <w:shd w:fill="7A1F2B" w:val="clear"/>
          </w:tcPr>
          <w:p>
            <w:r/>
            <w:r>
              <w:rPr>
                <w:rFonts w:ascii="Calibri" w:hAnsi="Calibri" w:eastAsia="Calibri"/>
                <w:b/>
                <w:i w:val="0"/>
                <w:color w:val="FFFFFF"/>
                <w:sz w:val="20"/>
              </w:rPr>
              <w:t>Date</w:t>
            </w:r>
          </w:p>
        </w:tc>
      </w:tr>
      <w:tr>
        <w:tc>
          <w:tcPr>
            <w:tcW w:type="dxa" w:w="2521"/>
          </w:tcPr>
          <w:p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Operator</w:t>
            </w:r>
          </w:p>
        </w:tc>
        <w:tc>
          <w:tcPr>
            <w:tcW w:type="dxa" w:w="2521"/>
          </w:tcPr>
          <w:p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</w:r>
          </w:p>
        </w:tc>
        <w:tc>
          <w:tcPr>
            <w:tcW w:type="dxa" w:w="2521"/>
          </w:tcPr>
          <w:p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</w:r>
          </w:p>
        </w:tc>
        <w:tc>
          <w:tcPr>
            <w:tcW w:type="dxa" w:w="2521"/>
          </w:tcPr>
          <w:p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</w:r>
          </w:p>
        </w:tc>
      </w:tr>
      <w:tr>
        <w:tc>
          <w:tcPr>
            <w:tcW w:type="dxa" w:w="2521"/>
            <w:shd w:fill="F4EFE6" w:val="clear"/>
          </w:tcPr>
          <w:p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Reviewer</w:t>
            </w:r>
          </w:p>
        </w:tc>
        <w:tc>
          <w:tcPr>
            <w:tcW w:type="dxa" w:w="2521"/>
            <w:shd w:fill="F4EFE6" w:val="clear"/>
          </w:tcPr>
          <w:p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</w:r>
          </w:p>
        </w:tc>
        <w:tc>
          <w:tcPr>
            <w:tcW w:type="dxa" w:w="2521"/>
            <w:shd w:fill="F4EFE6" w:val="clear"/>
          </w:tcPr>
          <w:p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</w:r>
          </w:p>
        </w:tc>
        <w:tc>
          <w:tcPr>
            <w:tcW w:type="dxa" w:w="2521"/>
            <w:shd w:fill="F4EFE6" w:val="clear"/>
          </w:tcPr>
          <w:p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</w:r>
          </w:p>
        </w:tc>
      </w:tr>
    </w:tbl>
    <w:p/>
    <w:p>
      <w:pPr>
        <w:spacing w:after="160"/>
      </w:pPr>
      <w:r>
        <w:rPr>
          <w:rFonts w:ascii="Calibri" w:hAnsi="Calibri" w:eastAsia="Calibri"/>
          <w:b/>
          <w:i w:val="0"/>
          <w:color w:val="1A1A1A"/>
          <w:sz w:val="22"/>
        </w:rPr>
        <w:t>A draft without this sheet completed is not issued.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74" w:right="1077" w:bottom="1020" w:left="1077" w:header="283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rFonts w:ascii="Calibri" w:hAnsi="Calibri" w:eastAsia="Calibri"/>
        <w:b w:val="0"/>
        <w:i w:val="0"/>
        <w:color w:val="4A4A4A"/>
        <w:sz w:val="16"/>
      </w:rPr>
      <w:t>For reviewers  ·  18 August 2026  ·  Not legal advice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drawing>
        <wp:inline xmlns:a="http://schemas.openxmlformats.org/drawingml/2006/main" xmlns:pic="http://schemas.openxmlformats.org/drawingml/2006/picture">
          <wp:extent cx="335101" cy="50292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crimson-horse-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5101" cy="502920"/>
                  </a:xfrm>
                  <a:prstGeom prst="rect"/>
                </pic:spPr>
              </pic:pic>
            </a:graphicData>
          </a:graphic>
        </wp:inline>
      </w:drawing>
    </w:r>
    <w:r>
      <w:rPr>
        <w:rFonts w:ascii="Calibri" w:hAnsi="Calibri" w:eastAsia="Calibri"/>
        <w:b/>
        <w:i w:val="0"/>
        <w:color w:val="7A1F2B"/>
        <w:sz w:val="18"/>
      </w:rPr>
      <w:t xml:space="preserve">    CRIMSON HORSE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