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Calibri"/>
          <w:b/>
          <w:i w:val="0"/>
          <w:color w:val="7A1F2B"/>
          <w:sz w:val="24"/>
        </w:rPr>
        <w:t>CRIMSON HORSE</w:t>
      </w:r>
    </w:p>
    <w:p>
      <w:r>
        <w:rPr>
          <w:rFonts w:ascii="Calibri" w:hAnsi="Calibri" w:eastAsia="Calibri"/>
          <w:b/>
          <w:i w:val="0"/>
          <w:color w:val="7A1F2B"/>
          <w:sz w:val="44"/>
        </w:rPr>
        <w:t>Delivery plan</w:t>
      </w:r>
    </w:p>
    <w:p>
      <w:r>
        <w:rPr>
          <w:rFonts w:ascii="Calibri" w:hAnsi="Calibri" w:eastAsia="Calibri"/>
          <w:b w:val="0"/>
          <w:i w:val="0"/>
          <w:color w:val="4A4A4A"/>
          <w:sz w:val="24"/>
        </w:rPr>
        <w:t>Exactly what has to happen to make the product usable on a desk and then sellable. Who does each step. How the Calculator and the report stay flexible when the solicitor changes the method.</w:t>
      </w:r>
    </w:p>
    <w:p>
      <w:pPr>
        <w:spacing w:after="160"/>
      </w:pPr>
      <w:r>
        <w:rPr>
          <w:rFonts w:ascii="Calibri" w:hAnsi="Calibri" w:eastAsia="Calibri"/>
          <w:b w:val="0"/>
          <w:i w:val="0"/>
          <w:color w:val="1A1A1A"/>
          <w:sz w:val="22"/>
        </w:rPr>
        <w:t>This plan is an operating document. It is not legal advice. The solicitor instructs the method and the rates. Crimson Horse calculates those instructions correctly, names every assumption, and leaves blank anything that has no source and no instruction.</w:t>
      </w:r>
    </w:p>
    <w:p>
      <w:pPr>
        <w:pStyle w:val="Heading1"/>
      </w:pPr>
      <w:r>
        <w:rPr>
          <w:rFonts w:ascii="Calibri" w:hAnsi="Calibri"/>
          <w:color w:val="7A1F2B"/>
        </w:rPr>
        <w:t>1. The situation we must plan for</w:t>
      </w:r>
    </w:p>
    <w:p>
      <w:pPr>
        <w:spacing w:after="160"/>
      </w:pPr>
      <w:r>
        <w:rPr>
          <w:rFonts w:ascii="Calibri" w:hAnsi="Calibri" w:eastAsia="Calibri"/>
          <w:b w:val="0"/>
          <w:i w:val="0"/>
          <w:color w:val="1A1A1A"/>
          <w:sz w:val="22"/>
        </w:rPr>
        <w:t>There is not one quantum. Counsel and valuers already use different shapes on the same papers. The Carlin How opinion records JDH at 4% on the sums paid and 2% on wholesale, with no delivery uplift. The Centurion opinion records Mersenne as wholesale plus 40%, standing charges, and 8%. You have instructed 6% in place of 8%, and kept 40%. A later solicitor may ask for 4%/2%, or 8% both sides, or commission-only, or actual C and D from a supplier ledger, or bill-by-bill interest instead of a mid-point clock.</w:t>
      </w:r>
    </w:p>
    <w:p>
      <w:pPr>
        <w:spacing w:after="160"/>
      </w:pPr>
      <w:r>
        <w:rPr>
          <w:rFonts w:ascii="Calibri" w:hAnsi="Calibri" w:eastAsia="Calibri"/>
          <w:b/>
          <w:i w:val="0"/>
          <w:color w:val="1A1A1A"/>
          <w:sz w:val="22"/>
        </w:rPr>
        <w:t>If we freeze one method into the product, the next instruction will break it. If we guess a method so a report looks finished, we have failed the hard rule. The product must therefore calculate every instructed method correctly, show them side by side, and let the solicitor say which line is headline.</w:t>
      </w:r>
    </w:p>
    <w:p>
      <w:pPr>
        <w:pStyle w:val="Heading1"/>
      </w:pPr>
      <w:r>
        <w:rPr>
          <w:rFonts w:ascii="Calibri" w:hAnsi="Calibri"/>
          <w:color w:val="7A1F2B"/>
        </w:rPr>
        <w:t>2. Policy — method, rates, and the report</w:t>
      </w:r>
    </w:p>
    <w:p>
      <w:pPr>
        <w:pStyle w:val="Heading2"/>
      </w:pPr>
      <w:r>
        <w:rPr>
          <w:rFonts w:ascii="Calibri" w:hAnsi="Calibri"/>
          <w:color w:val="7A1F2B"/>
        </w:rPr>
        <w:t>2.1 Who decides</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Question</w:t>
            </w:r>
          </w:p>
        </w:tc>
        <w:tc>
          <w:tcPr>
            <w:tcW w:type="dxa" w:w="3362"/>
            <w:shd w:fill="7A1F2B" w:val="clear"/>
          </w:tcPr>
          <w:p>
            <w:pPr>
              <w:spacing w:after="40" w:before="40"/>
            </w:pPr>
            <w:r/>
            <w:r>
              <w:rPr>
                <w:rFonts w:ascii="Calibri" w:hAnsi="Calibri" w:eastAsia="Calibri"/>
                <w:b/>
                <w:i w:val="0"/>
                <w:color w:val="FFFFFF"/>
                <w:sz w:val="20"/>
              </w:rPr>
              <w:t>Who decides</w:t>
            </w:r>
          </w:p>
        </w:tc>
        <w:tc>
          <w:tcPr>
            <w:tcW w:type="dxa" w:w="3362"/>
            <w:shd w:fill="7A1F2B" w:val="clear"/>
          </w:tcPr>
          <w:p>
            <w:pPr>
              <w:spacing w:after="40" w:before="40"/>
            </w:pPr>
            <w:r/>
            <w:r>
              <w:rPr>
                <w:rFonts w:ascii="Calibri" w:hAnsi="Calibri" w:eastAsia="Calibri"/>
                <w:b/>
                <w:i w:val="0"/>
                <w:color w:val="FFFFFF"/>
                <w:sz w:val="20"/>
              </w:rPr>
              <w:t>What Crimson Horse does</w:t>
            </w:r>
          </w:p>
        </w:tc>
      </w:tr>
      <w:tr>
        <w:tc>
          <w:tcPr>
            <w:tcW w:type="dxa" w:w="3362"/>
          </w:tcPr>
          <w:p>
            <w:pPr>
              <w:spacing w:after="40" w:before="40"/>
            </w:pPr>
            <w:r/>
            <w:r>
              <w:rPr>
                <w:rFonts w:ascii="Calibri" w:hAnsi="Calibri" w:eastAsia="Calibri"/>
                <w:b w:val="0"/>
                <w:i w:val="0"/>
                <w:color w:val="1A1A1A"/>
                <w:sz w:val="20"/>
              </w:rPr>
              <w:t>Whether there is a claim, and how it is pleaded</w:t>
            </w:r>
          </w:p>
        </w:tc>
        <w:tc>
          <w:tcPr>
            <w:tcW w:type="dxa" w:w="3362"/>
          </w:tcPr>
          <w:p>
            <w:pPr>
              <w:spacing w:after="40" w:before="40"/>
            </w:pPr>
            <w:r/>
            <w:r>
              <w:rPr>
                <w:rFonts w:ascii="Calibri" w:hAnsi="Calibri" w:eastAsia="Calibri"/>
                <w:b w:val="0"/>
                <w:i w:val="0"/>
                <w:color w:val="1A1A1A"/>
                <w:sz w:val="20"/>
              </w:rPr>
              <w:t>The solicitor</w:t>
            </w:r>
          </w:p>
        </w:tc>
        <w:tc>
          <w:tcPr>
            <w:tcW w:type="dxa" w:w="3362"/>
          </w:tcPr>
          <w:p>
            <w:pPr>
              <w:spacing w:after="40" w:before="40"/>
            </w:pPr>
            <w:r/>
            <w:r>
              <w:rPr>
                <w:rFonts w:ascii="Calibri" w:hAnsi="Calibri" w:eastAsia="Calibri"/>
                <w:b w:val="0"/>
                <w:i w:val="0"/>
                <w:color w:val="1A1A1A"/>
                <w:sz w:val="20"/>
              </w:rPr>
              <w:t>Does not advise. Does not copy counsel’s prospects into the valuation as a Crimson Horse finding.</w:t>
            </w:r>
          </w:p>
        </w:tc>
      </w:tr>
      <w:tr>
        <w:tc>
          <w:tcPr>
            <w:tcW w:type="dxa" w:w="3362"/>
            <w:shd w:fill="F4EFE6" w:val="clear"/>
          </w:tcPr>
          <w:p>
            <w:pPr>
              <w:spacing w:after="40" w:before="40"/>
            </w:pPr>
            <w:r/>
            <w:r>
              <w:rPr>
                <w:rFonts w:ascii="Calibri" w:hAnsi="Calibri" w:eastAsia="Calibri"/>
                <w:b w:val="0"/>
                <w:i w:val="0"/>
                <w:color w:val="1A1A1A"/>
                <w:sz w:val="20"/>
              </w:rPr>
              <w:t>Headline measure (Wood, fair-cost, commission-only, or another named method)</w:t>
            </w:r>
          </w:p>
        </w:tc>
        <w:tc>
          <w:tcPr>
            <w:tcW w:type="dxa" w:w="3362"/>
            <w:shd w:fill="F4EFE6" w:val="clear"/>
          </w:tcPr>
          <w:p>
            <w:pPr>
              <w:spacing w:after="40" w:before="40"/>
            </w:pPr>
            <w:r/>
            <w:r>
              <w:rPr>
                <w:rFonts w:ascii="Calibri" w:hAnsi="Calibri" w:eastAsia="Calibri"/>
                <w:b w:val="0"/>
                <w:i w:val="0"/>
                <w:color w:val="1A1A1A"/>
                <w:sz w:val="20"/>
              </w:rPr>
              <w:t>The solicitor, in a written instruction on the case file</w:t>
            </w:r>
          </w:p>
        </w:tc>
        <w:tc>
          <w:tcPr>
            <w:tcW w:type="dxa" w:w="3362"/>
            <w:shd w:fill="F4EFE6" w:val="clear"/>
          </w:tcPr>
          <w:p>
            <w:pPr>
              <w:spacing w:after="40" w:before="40"/>
            </w:pPr>
            <w:r/>
            <w:r>
              <w:rPr>
                <w:rFonts w:ascii="Calibri" w:hAnsi="Calibri" w:eastAsia="Calibri"/>
                <w:b w:val="0"/>
                <w:i w:val="0"/>
                <w:color w:val="1A1A1A"/>
                <w:sz w:val="20"/>
              </w:rPr>
              <w:t>Runs every instructed method. Marks which is headline. Does not hide the others.</w:t>
            </w:r>
          </w:p>
        </w:tc>
      </w:tr>
      <w:tr>
        <w:tc>
          <w:tcPr>
            <w:tcW w:type="dxa" w:w="3362"/>
          </w:tcPr>
          <w:p>
            <w:pPr>
              <w:spacing w:after="40" w:before="40"/>
            </w:pPr>
            <w:r/>
            <w:r>
              <w:rPr>
                <w:rFonts w:ascii="Calibri" w:hAnsi="Calibri" w:eastAsia="Calibri"/>
                <w:b w:val="0"/>
                <w:i w:val="0"/>
                <w:color w:val="1A1A1A"/>
                <w:sz w:val="20"/>
              </w:rPr>
              <w:t>Interest rate on A (B) and on C+D (E)</w:t>
            </w:r>
          </w:p>
        </w:tc>
        <w:tc>
          <w:tcPr>
            <w:tcW w:type="dxa" w:w="3362"/>
          </w:tcPr>
          <w:p>
            <w:pPr>
              <w:spacing w:after="40" w:before="40"/>
            </w:pPr>
            <w:r/>
            <w:r>
              <w:rPr>
                <w:rFonts w:ascii="Calibri" w:hAnsi="Calibri" w:eastAsia="Calibri"/>
                <w:b w:val="0"/>
                <w:i w:val="0"/>
                <w:color w:val="1A1A1A"/>
                <w:sz w:val="20"/>
              </w:rPr>
              <w:t>The solicitor’s note, or a named sourced report they have adopted</w:t>
            </w:r>
          </w:p>
        </w:tc>
        <w:tc>
          <w:tcPr>
            <w:tcW w:type="dxa" w:w="3362"/>
          </w:tcPr>
          <w:p>
            <w:pPr>
              <w:spacing w:after="40" w:before="40"/>
            </w:pPr>
            <w:r/>
            <w:r>
              <w:rPr>
                <w:rFonts w:ascii="Calibri" w:hAnsi="Calibri" w:eastAsia="Calibri"/>
                <w:b w:val="0"/>
                <w:i w:val="0"/>
                <w:color w:val="1A1A1A"/>
                <w:sz w:val="20"/>
              </w:rPr>
              <w:t>Applies only that. 6%, 8%, 4%/2%, SONIA — none is a default.</w:t>
            </w:r>
          </w:p>
        </w:tc>
      </w:tr>
      <w:tr>
        <w:tc>
          <w:tcPr>
            <w:tcW w:type="dxa" w:w="3362"/>
            <w:shd w:fill="F4EFE6" w:val="clear"/>
          </w:tcPr>
          <w:p>
            <w:pPr>
              <w:spacing w:after="40" w:before="40"/>
            </w:pPr>
            <w:r/>
            <w:r>
              <w:rPr>
                <w:rFonts w:ascii="Calibri" w:hAnsi="Calibri" w:eastAsia="Calibri"/>
                <w:b w:val="0"/>
                <w:i w:val="0"/>
                <w:color w:val="1A1A1A"/>
                <w:sz w:val="20"/>
              </w:rPr>
              <w:t>40% of wholesale as D, or any other uplift</w:t>
            </w:r>
          </w:p>
        </w:tc>
        <w:tc>
          <w:tcPr>
            <w:tcW w:type="dxa" w:w="3362"/>
            <w:shd w:fill="F4EFE6" w:val="clear"/>
          </w:tcPr>
          <w:p>
            <w:pPr>
              <w:spacing w:after="40" w:before="40"/>
            </w:pPr>
            <w:r/>
            <w:r>
              <w:rPr>
                <w:rFonts w:ascii="Calibri" w:hAnsi="Calibri" w:eastAsia="Calibri"/>
                <w:b w:val="0"/>
                <w:i w:val="0"/>
                <w:color w:val="1A1A1A"/>
                <w:sz w:val="20"/>
              </w:rPr>
              <w:t>The solicitor’s note</w:t>
            </w:r>
          </w:p>
        </w:tc>
        <w:tc>
          <w:tcPr>
            <w:tcW w:type="dxa" w:w="3362"/>
            <w:shd w:fill="F4EFE6" w:val="clear"/>
          </w:tcPr>
          <w:p>
            <w:pPr>
              <w:spacing w:after="40" w:before="40"/>
            </w:pPr>
            <w:r/>
            <w:r>
              <w:rPr>
                <w:rFonts w:ascii="Calibri" w:hAnsi="Calibri" w:eastAsia="Calibri"/>
                <w:b w:val="0"/>
                <w:i w:val="0"/>
                <w:color w:val="1A1A1A"/>
                <w:sz w:val="20"/>
              </w:rPr>
              <w:t>Applies as a proxy, marked proxy, until actual delivery cost exists.</w:t>
            </w:r>
          </w:p>
        </w:tc>
      </w:tr>
      <w:tr>
        <w:tc>
          <w:tcPr>
            <w:tcW w:type="dxa" w:w="3362"/>
          </w:tcPr>
          <w:p>
            <w:pPr>
              <w:spacing w:after="40" w:before="40"/>
            </w:pPr>
            <w:r/>
            <w:r>
              <w:rPr>
                <w:rFonts w:ascii="Calibri" w:hAnsi="Calibri" w:eastAsia="Calibri"/>
                <w:b w:val="0"/>
                <w:i w:val="0"/>
                <w:color w:val="1A1A1A"/>
                <w:sz w:val="20"/>
              </w:rPr>
              <w:t>Estimated / imputed bills</w:t>
            </w:r>
          </w:p>
        </w:tc>
        <w:tc>
          <w:tcPr>
            <w:tcW w:type="dxa" w:w="3362"/>
          </w:tcPr>
          <w:p>
            <w:pPr>
              <w:spacing w:after="40" w:before="40"/>
            </w:pPr>
            <w:r/>
            <w:r>
              <w:rPr>
                <w:rFonts w:ascii="Calibri" w:hAnsi="Calibri" w:eastAsia="Calibri"/>
                <w:b w:val="0"/>
                <w:i w:val="0"/>
                <w:color w:val="1A1A1A"/>
                <w:sz w:val="20"/>
              </w:rPr>
              <w:t>The solicitor’s note</w:t>
            </w:r>
          </w:p>
        </w:tc>
        <w:tc>
          <w:tcPr>
            <w:tcW w:type="dxa" w:w="3362"/>
          </w:tcPr>
          <w:p>
            <w:pPr>
              <w:spacing w:after="40" w:before="40"/>
            </w:pPr>
            <w:r/>
            <w:r>
              <w:rPr>
                <w:rFonts w:ascii="Calibri" w:hAnsi="Calibri" w:eastAsia="Calibri"/>
                <w:b w:val="0"/>
                <w:i w:val="0"/>
                <w:color w:val="1A1A1A"/>
                <w:sz w:val="20"/>
              </w:rPr>
              <w:t>Flags the row IMPUTED. Totals never invented without that note.</w:t>
            </w:r>
          </w:p>
        </w:tc>
      </w:tr>
      <w:tr>
        <w:tc>
          <w:tcPr>
            <w:tcW w:type="dxa" w:w="3362"/>
            <w:shd w:fill="F4EFE6" w:val="clear"/>
          </w:tcPr>
          <w:p>
            <w:pPr>
              <w:spacing w:after="40" w:before="40"/>
            </w:pPr>
            <w:r/>
            <w:r>
              <w:rPr>
                <w:rFonts w:ascii="Calibri" w:hAnsi="Calibri" w:eastAsia="Calibri"/>
                <w:b w:val="0"/>
                <w:i w:val="0"/>
                <w:color w:val="1A1A1A"/>
                <w:sz w:val="20"/>
              </w:rPr>
              <w:t>What is a fact on a page</w:t>
            </w:r>
          </w:p>
        </w:tc>
        <w:tc>
          <w:tcPr>
            <w:tcW w:type="dxa" w:w="3362"/>
            <w:shd w:fill="F4EFE6" w:val="clear"/>
          </w:tcPr>
          <w:p>
            <w:pPr>
              <w:spacing w:after="40" w:before="40"/>
            </w:pPr>
            <w:r/>
            <w:r>
              <w:rPr>
                <w:rFonts w:ascii="Calibri" w:hAnsi="Calibri" w:eastAsia="Calibri"/>
                <w:b w:val="0"/>
                <w:i w:val="0"/>
                <w:color w:val="1A1A1A"/>
                <w:sz w:val="20"/>
              </w:rPr>
              <w:t>The page</w:t>
            </w:r>
          </w:p>
        </w:tc>
        <w:tc>
          <w:tcPr>
            <w:tcW w:type="dxa" w:w="3362"/>
            <w:shd w:fill="F4EFE6" w:val="clear"/>
          </w:tcPr>
          <w:p>
            <w:pPr>
              <w:spacing w:after="40" w:before="40"/>
            </w:pPr>
            <w:r/>
            <w:r>
              <w:rPr>
                <w:rFonts w:ascii="Calibri" w:hAnsi="Calibri" w:eastAsia="Calibri"/>
                <w:b w:val="0"/>
                <w:i w:val="0"/>
                <w:color w:val="1A1A1A"/>
                <w:sz w:val="20"/>
              </w:rPr>
              <w:t>Copied into the Data Bridge with the file named.</w:t>
            </w:r>
          </w:p>
        </w:tc>
      </w:tr>
    </w:tbl>
    <w:p/>
    <w:p>
      <w:pPr>
        <w:pStyle w:val="Heading2"/>
      </w:pPr>
      <w:r>
        <w:rPr>
          <w:rFonts w:ascii="Calibri" w:hAnsi="Calibri"/>
          <w:color w:val="7A1F2B"/>
        </w:rPr>
        <w:t>2.2 Standing rules (do not relax)</w:t>
      </w:r>
    </w:p>
    <w:p>
      <w:pPr>
        <w:pStyle w:val="ListBullet"/>
      </w:pPr>
      <w:r>
        <w:rPr>
          <w:rFonts w:ascii="Calibri" w:hAnsi="Calibri" w:eastAsia="Calibri"/>
          <w:b w:val="0"/>
          <w:i w:val="0"/>
          <w:color w:val="1A1A1A"/>
          <w:sz w:val="22"/>
        </w:rPr>
        <w:t>No rate, uplift, wholesale series, or commission p/kWh is invented to fill a gap.</w:t>
      </w:r>
    </w:p>
    <w:p>
      <w:pPr>
        <w:pStyle w:val="ListBullet"/>
      </w:pPr>
      <w:r>
        <w:rPr>
          <w:rFonts w:ascii="Calibri" w:hAnsi="Calibri" w:eastAsia="Calibri"/>
          <w:b w:val="0"/>
          <w:i w:val="0"/>
          <w:color w:val="1A1A1A"/>
          <w:sz w:val="22"/>
        </w:rPr>
        <w:t>One case, one folder. Mortgage files and AppleDouble ._ files are held out.</w:t>
      </w:r>
    </w:p>
    <w:p>
      <w:pPr>
        <w:pStyle w:val="ListBullet"/>
      </w:pPr>
      <w:r>
        <w:rPr>
          <w:rFonts w:ascii="Calibri" w:hAnsi="Calibri" w:eastAsia="Calibri"/>
          <w:b w:val="0"/>
          <w:i w:val="0"/>
          <w:color w:val="1A1A1A"/>
          <w:sz w:val="22"/>
        </w:rPr>
        <w:t>A method that cannot run is blank, not zero.</w:t>
      </w:r>
    </w:p>
    <w:p>
      <w:pPr>
        <w:pStyle w:val="ListBullet"/>
      </w:pPr>
      <w:r>
        <w:rPr>
          <w:rFonts w:ascii="Calibri" w:hAnsi="Calibri" w:eastAsia="Calibri"/>
          <w:b w:val="0"/>
          <w:i w:val="0"/>
          <w:color w:val="1A1A1A"/>
          <w:sz w:val="22"/>
        </w:rPr>
        <w:t>Every assumption is named in the report next to the figure it affects.</w:t>
      </w:r>
    </w:p>
    <w:p>
      <w:pPr>
        <w:pStyle w:val="ListBullet"/>
      </w:pPr>
      <w:r>
        <w:rPr>
          <w:rFonts w:ascii="Calibri" w:hAnsi="Calibri" w:eastAsia="Calibri"/>
          <w:b w:val="0"/>
          <w:i w:val="0"/>
          <w:color w:val="1A1A1A"/>
          <w:sz w:val="22"/>
        </w:rPr>
        <w:t>Four-eyes before a draft leaves the desk.</w:t>
      </w:r>
    </w:p>
    <w:p>
      <w:pPr>
        <w:pStyle w:val="ListBullet"/>
      </w:pPr>
      <w:r>
        <w:rPr>
          <w:rFonts w:ascii="Calibri" w:hAnsi="Calibri" w:eastAsia="Calibri"/>
          <w:b w:val="0"/>
          <w:i w:val="0"/>
          <w:color w:val="1A1A1A"/>
          <w:sz w:val="22"/>
        </w:rPr>
        <w:t>The live Calculator is not changed in silence. Weekly review: agree, later date, or reject this week only.</w:t>
      </w:r>
    </w:p>
    <w:p>
      <w:pPr>
        <w:pStyle w:val="ListBullet"/>
      </w:pPr>
      <w:r>
        <w:rPr>
          <w:rFonts w:ascii="Calibri" w:hAnsi="Calibri" w:eastAsia="Calibri"/>
          <w:b w:val="0"/>
          <w:i w:val="0"/>
          <w:color w:val="1A1A1A"/>
          <w:sz w:val="22"/>
        </w:rPr>
        <w:t>The report is a quantum valuation. It is not legal advice and not an expert report.</w:t>
      </w:r>
    </w:p>
    <w:p>
      <w:pPr>
        <w:pStyle w:val="Heading2"/>
      </w:pPr>
      <w:r>
        <w:rPr>
          <w:rFonts w:ascii="Calibri" w:hAnsi="Calibri"/>
          <w:color w:val="7A1F2B"/>
        </w:rPr>
        <w:t>2.3 Flexibility — what “the solicitor will ask for all sorts” means in practice</w:t>
      </w:r>
    </w:p>
    <w:p>
      <w:pPr>
        <w:spacing w:after="160"/>
      </w:pPr>
      <w:r>
        <w:rPr>
          <w:rFonts w:ascii="Calibri" w:hAnsi="Calibri" w:eastAsia="Calibri"/>
          <w:b w:val="0"/>
          <w:i w:val="0"/>
          <w:color w:val="1A1A1A"/>
          <w:sz w:val="22"/>
        </w:rPr>
        <w:t>The instruction file on the case (instruction.json / solicitor note) must be able to carry, at least:</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Switch</w:t>
            </w:r>
          </w:p>
        </w:tc>
        <w:tc>
          <w:tcPr>
            <w:tcW w:type="dxa" w:w="3362"/>
            <w:shd w:fill="7A1F2B" w:val="clear"/>
          </w:tcPr>
          <w:p>
            <w:pPr>
              <w:spacing w:after="40" w:before="40"/>
            </w:pPr>
            <w:r/>
            <w:r>
              <w:rPr>
                <w:rFonts w:ascii="Calibri" w:hAnsi="Calibri" w:eastAsia="Calibri"/>
                <w:b/>
                <w:i w:val="0"/>
                <w:color w:val="FFFFFF"/>
                <w:sz w:val="20"/>
              </w:rPr>
              <w:t>Examples already seen</w:t>
            </w:r>
          </w:p>
        </w:tc>
        <w:tc>
          <w:tcPr>
            <w:tcW w:type="dxa" w:w="3362"/>
            <w:shd w:fill="7A1F2B" w:val="clear"/>
          </w:tcPr>
          <w:p>
            <w:pPr>
              <w:spacing w:after="40" w:before="40"/>
            </w:pPr>
            <w:r/>
            <w:r>
              <w:rPr>
                <w:rFonts w:ascii="Calibri" w:hAnsi="Calibri" w:eastAsia="Calibri"/>
                <w:b/>
                <w:i w:val="0"/>
                <w:color w:val="FFFFFF"/>
                <w:sz w:val="20"/>
              </w:rPr>
              <w:t>Product behaviour</w:t>
            </w:r>
          </w:p>
        </w:tc>
      </w:tr>
      <w:tr>
        <w:tc>
          <w:tcPr>
            <w:tcW w:type="dxa" w:w="3362"/>
          </w:tcPr>
          <w:p>
            <w:pPr>
              <w:spacing w:after="40" w:before="40"/>
            </w:pPr>
            <w:r/>
            <w:r>
              <w:rPr>
                <w:rFonts w:ascii="Calibri" w:hAnsi="Calibri" w:eastAsia="Calibri"/>
                <w:b w:val="0"/>
                <w:i w:val="0"/>
                <w:color w:val="1A1A1A"/>
                <w:sz w:val="20"/>
              </w:rPr>
              <w:t>Headline method</w:t>
            </w:r>
          </w:p>
        </w:tc>
        <w:tc>
          <w:tcPr>
            <w:tcW w:type="dxa" w:w="3362"/>
          </w:tcPr>
          <w:p>
            <w:pPr>
              <w:spacing w:after="40" w:before="40"/>
            </w:pPr>
            <w:r/>
            <w:r>
              <w:rPr>
                <w:rFonts w:ascii="Calibri" w:hAnsi="Calibri" w:eastAsia="Calibri"/>
                <w:b w:val="0"/>
                <w:i w:val="0"/>
                <w:color w:val="1A1A1A"/>
                <w:sz w:val="20"/>
              </w:rPr>
              <w:t>Wood A+B−(C+D+E); fair-cost; commission floor</w:t>
            </w:r>
          </w:p>
        </w:tc>
        <w:tc>
          <w:tcPr>
            <w:tcW w:type="dxa" w:w="3362"/>
          </w:tcPr>
          <w:p>
            <w:pPr>
              <w:spacing w:after="40" w:before="40"/>
            </w:pPr>
            <w:r/>
            <w:r>
              <w:rPr>
                <w:rFonts w:ascii="Calibri" w:hAnsi="Calibri" w:eastAsia="Calibri"/>
                <w:b w:val="0"/>
                <w:i w:val="0"/>
                <w:color w:val="1A1A1A"/>
                <w:sz w:val="20"/>
              </w:rPr>
              <w:t>All calculated if the inputs exist; headline labelled from the instruction.</w:t>
            </w:r>
          </w:p>
        </w:tc>
      </w:tr>
      <w:tr>
        <w:tc>
          <w:tcPr>
            <w:tcW w:type="dxa" w:w="3362"/>
            <w:shd w:fill="F4EFE6" w:val="clear"/>
          </w:tcPr>
          <w:p>
            <w:pPr>
              <w:spacing w:after="40" w:before="40"/>
            </w:pPr>
            <w:r/>
            <w:r>
              <w:rPr>
                <w:rFonts w:ascii="Calibri" w:hAnsi="Calibri" w:eastAsia="Calibri"/>
                <w:b w:val="0"/>
                <w:i w:val="0"/>
                <w:color w:val="1A1A1A"/>
                <w:sz w:val="20"/>
              </w:rPr>
              <w:t>B rate</w:t>
            </w:r>
          </w:p>
        </w:tc>
        <w:tc>
          <w:tcPr>
            <w:tcW w:type="dxa" w:w="3362"/>
            <w:shd w:fill="F4EFE6" w:val="clear"/>
          </w:tcPr>
          <w:p>
            <w:pPr>
              <w:spacing w:after="40" w:before="40"/>
            </w:pPr>
            <w:r/>
            <w:r>
              <w:rPr>
                <w:rFonts w:ascii="Calibri" w:hAnsi="Calibri" w:eastAsia="Calibri"/>
                <w:b w:val="0"/>
                <w:i w:val="0"/>
                <w:color w:val="1A1A1A"/>
                <w:sz w:val="20"/>
              </w:rPr>
              <w:t>8% Mersenne; 6% instructed; 4% JDH/Wood claimant leg</w:t>
            </w:r>
          </w:p>
        </w:tc>
        <w:tc>
          <w:tcPr>
            <w:tcW w:type="dxa" w:w="3362"/>
            <w:shd w:fill="F4EFE6" w:val="clear"/>
          </w:tcPr>
          <w:p>
            <w:pPr>
              <w:spacing w:after="40" w:before="40"/>
            </w:pPr>
            <w:r/>
            <w:r>
              <w:rPr>
                <w:rFonts w:ascii="Calibri" w:hAnsi="Calibri" w:eastAsia="Calibri"/>
                <w:b w:val="0"/>
                <w:i w:val="0"/>
                <w:color w:val="1A1A1A"/>
                <w:sz w:val="20"/>
              </w:rPr>
              <w:t>Single cell, per case.</w:t>
            </w:r>
          </w:p>
        </w:tc>
      </w:tr>
      <w:tr>
        <w:tc>
          <w:tcPr>
            <w:tcW w:type="dxa" w:w="3362"/>
          </w:tcPr>
          <w:p>
            <w:pPr>
              <w:spacing w:after="40" w:before="40"/>
            </w:pPr>
            <w:r/>
            <w:r>
              <w:rPr>
                <w:rFonts w:ascii="Calibri" w:hAnsi="Calibri" w:eastAsia="Calibri"/>
                <w:b w:val="0"/>
                <w:i w:val="0"/>
                <w:color w:val="1A1A1A"/>
                <w:sz w:val="20"/>
              </w:rPr>
              <w:t>E rate</w:t>
            </w:r>
          </w:p>
        </w:tc>
        <w:tc>
          <w:tcPr>
            <w:tcW w:type="dxa" w:w="3362"/>
          </w:tcPr>
          <w:p>
            <w:pPr>
              <w:spacing w:after="40" w:before="40"/>
            </w:pPr>
            <w:r/>
            <w:r>
              <w:rPr>
                <w:rFonts w:ascii="Calibri" w:hAnsi="Calibri" w:eastAsia="Calibri"/>
                <w:b w:val="0"/>
                <w:i w:val="0"/>
                <w:color w:val="1A1A1A"/>
                <w:sz w:val="20"/>
              </w:rPr>
              <w:t>Same as B; or 2% Wood supplier leg</w:t>
            </w:r>
          </w:p>
        </w:tc>
        <w:tc>
          <w:tcPr>
            <w:tcW w:type="dxa" w:w="3362"/>
          </w:tcPr>
          <w:p>
            <w:pPr>
              <w:spacing w:after="40" w:before="40"/>
            </w:pPr>
            <w:r/>
            <w:r>
              <w:rPr>
                <w:rFonts w:ascii="Calibri" w:hAnsi="Calibri" w:eastAsia="Calibri"/>
                <w:b w:val="0"/>
                <w:i w:val="0"/>
                <w:color w:val="1A1A1A"/>
                <w:sz w:val="20"/>
              </w:rPr>
              <w:t>Separate cell. Must not be forced equal unless instructed.</w:t>
            </w:r>
          </w:p>
        </w:tc>
      </w:tr>
      <w:tr>
        <w:tc>
          <w:tcPr>
            <w:tcW w:type="dxa" w:w="3362"/>
            <w:shd w:fill="F4EFE6" w:val="clear"/>
          </w:tcPr>
          <w:p>
            <w:pPr>
              <w:spacing w:after="40" w:before="40"/>
            </w:pPr>
            <w:r/>
            <w:r>
              <w:rPr>
                <w:rFonts w:ascii="Calibri" w:hAnsi="Calibri" w:eastAsia="Calibri"/>
                <w:b w:val="0"/>
                <w:i w:val="0"/>
                <w:color w:val="1A1A1A"/>
                <w:sz w:val="20"/>
              </w:rPr>
              <w:t>D / delivery</w:t>
            </w:r>
          </w:p>
        </w:tc>
        <w:tc>
          <w:tcPr>
            <w:tcW w:type="dxa" w:w="3362"/>
            <w:shd w:fill="F4EFE6" w:val="clear"/>
          </w:tcPr>
          <w:p>
            <w:pPr>
              <w:spacing w:after="40" w:before="40"/>
            </w:pPr>
            <w:r/>
            <w:r>
              <w:rPr>
                <w:rFonts w:ascii="Calibri" w:hAnsi="Calibri" w:eastAsia="Calibri"/>
                <w:b w:val="0"/>
                <w:i w:val="0"/>
                <w:color w:val="1A1A1A"/>
                <w:sz w:val="20"/>
              </w:rPr>
              <w:t>Bare C only (JDH); 40% of C (Mersenne); actual supplier build-up</w:t>
            </w:r>
          </w:p>
        </w:tc>
        <w:tc>
          <w:tcPr>
            <w:tcW w:type="dxa" w:w="3362"/>
            <w:shd w:fill="F4EFE6" w:val="clear"/>
          </w:tcPr>
          <w:p>
            <w:pPr>
              <w:spacing w:after="40" w:before="40"/>
            </w:pPr>
            <w:r/>
            <w:r>
              <w:rPr>
                <w:rFonts w:ascii="Calibri" w:hAnsi="Calibri" w:eastAsia="Calibri"/>
                <w:b w:val="0"/>
                <w:i w:val="0"/>
                <w:color w:val="1A1A1A"/>
                <w:sz w:val="20"/>
              </w:rPr>
              <w:t>Three D modes: none / instructed % of C / actual £.</w:t>
            </w:r>
          </w:p>
        </w:tc>
      </w:tr>
      <w:tr>
        <w:tc>
          <w:tcPr>
            <w:tcW w:type="dxa" w:w="3362"/>
          </w:tcPr>
          <w:p>
            <w:pPr>
              <w:spacing w:after="40" w:before="40"/>
            </w:pPr>
            <w:r/>
            <w:r>
              <w:rPr>
                <w:rFonts w:ascii="Calibri" w:hAnsi="Calibri" w:eastAsia="Calibri"/>
                <w:b w:val="0"/>
                <w:i w:val="0"/>
                <w:color w:val="1A1A1A"/>
                <w:sz w:val="20"/>
              </w:rPr>
              <w:t>C source</w:t>
            </w:r>
          </w:p>
        </w:tc>
        <w:tc>
          <w:tcPr>
            <w:tcW w:type="dxa" w:w="3362"/>
          </w:tcPr>
          <w:p>
            <w:pPr>
              <w:spacing w:after="40" w:before="40"/>
            </w:pPr>
            <w:r/>
            <w:r>
              <w:rPr>
                <w:rFonts w:ascii="Calibri" w:hAnsi="Calibri" w:eastAsia="Calibri"/>
                <w:b w:val="0"/>
                <w:i w:val="0"/>
                <w:color w:val="1A1A1A"/>
                <w:sz w:val="20"/>
              </w:rPr>
              <w:t>OFGEM average as cited; supplier hedge book; blank</w:t>
            </w:r>
          </w:p>
        </w:tc>
        <w:tc>
          <w:tcPr>
            <w:tcW w:type="dxa" w:w="3362"/>
          </w:tcPr>
          <w:p>
            <w:pPr>
              <w:spacing w:after="40" w:before="40"/>
            </w:pPr>
            <w:r/>
            <w:r>
              <w:rPr>
                <w:rFonts w:ascii="Calibri" w:hAnsi="Calibri" w:eastAsia="Calibri"/>
                <w:b w:val="0"/>
                <w:i w:val="0"/>
                <w:color w:val="1A1A1A"/>
                <w:sz w:val="20"/>
              </w:rPr>
              <w:t>Named. Blank if none.</w:t>
            </w:r>
          </w:p>
        </w:tc>
      </w:tr>
      <w:tr>
        <w:tc>
          <w:tcPr>
            <w:tcW w:type="dxa" w:w="3362"/>
            <w:shd w:fill="F4EFE6" w:val="clear"/>
          </w:tcPr>
          <w:p>
            <w:pPr>
              <w:spacing w:after="40" w:before="40"/>
            </w:pPr>
            <w:r/>
            <w:r>
              <w:rPr>
                <w:rFonts w:ascii="Calibri" w:hAnsi="Calibri" w:eastAsia="Calibri"/>
                <w:b w:val="0"/>
                <w:i w:val="0"/>
                <w:color w:val="1A1A1A"/>
                <w:sz w:val="20"/>
              </w:rPr>
              <w:t>Interest clock</w:t>
            </w:r>
          </w:p>
        </w:tc>
        <w:tc>
          <w:tcPr>
            <w:tcW w:type="dxa" w:w="3362"/>
            <w:shd w:fill="F4EFE6" w:val="clear"/>
          </w:tcPr>
          <w:p>
            <w:pPr>
              <w:spacing w:after="40" w:before="40"/>
            </w:pPr>
            <w:r/>
            <w:r>
              <w:rPr>
                <w:rFonts w:ascii="Calibri" w:hAnsi="Calibri" w:eastAsia="Calibri"/>
                <w:b w:val="0"/>
                <w:i w:val="0"/>
                <w:color w:val="1A1A1A"/>
                <w:sz w:val="20"/>
              </w:rPr>
              <w:t>Bill-by-bill to a calculation date; mid-point years (marked assumption)</w:t>
            </w:r>
          </w:p>
        </w:tc>
        <w:tc>
          <w:tcPr>
            <w:tcW w:type="dxa" w:w="3362"/>
            <w:shd w:fill="F4EFE6" w:val="clear"/>
          </w:tcPr>
          <w:p>
            <w:pPr>
              <w:spacing w:after="40" w:before="40"/>
            </w:pPr>
            <w:r/>
            <w:r>
              <w:rPr>
                <w:rFonts w:ascii="Calibri" w:hAnsi="Calibri" w:eastAsia="Calibri"/>
                <w:b w:val="0"/>
                <w:i w:val="0"/>
                <w:color w:val="1A1A1A"/>
                <w:sz w:val="20"/>
              </w:rPr>
              <w:t>Bill-by-bill preferred. Mid-point only if instructed and marked.</w:t>
            </w:r>
          </w:p>
        </w:tc>
      </w:tr>
      <w:tr>
        <w:tc>
          <w:tcPr>
            <w:tcW w:type="dxa" w:w="3362"/>
          </w:tcPr>
          <w:p>
            <w:pPr>
              <w:spacing w:after="40" w:before="40"/>
            </w:pPr>
            <w:r/>
            <w:r>
              <w:rPr>
                <w:rFonts w:ascii="Calibri" w:hAnsi="Calibri" w:eastAsia="Calibri"/>
                <w:b w:val="0"/>
                <w:i w:val="0"/>
                <w:color w:val="1A1A1A"/>
                <w:sz w:val="20"/>
              </w:rPr>
              <w:t>Commission line</w:t>
            </w:r>
          </w:p>
        </w:tc>
        <w:tc>
          <w:tcPr>
            <w:tcW w:type="dxa" w:w="3362"/>
          </w:tcPr>
          <w:p>
            <w:pPr>
              <w:spacing w:after="40" w:before="40"/>
            </w:pPr>
            <w:r/>
            <w:r>
              <w:rPr>
                <w:rFonts w:ascii="Calibri" w:hAnsi="Calibri" w:eastAsia="Calibri"/>
                <w:b w:val="0"/>
                <w:i w:val="0"/>
                <w:color w:val="1A1A1A"/>
                <w:sz w:val="20"/>
              </w:rPr>
              <w:t>Ledger £; instructed %; instructed p/kWh; JDH estimate copied with mark</w:t>
            </w:r>
          </w:p>
        </w:tc>
        <w:tc>
          <w:tcPr>
            <w:tcW w:type="dxa" w:w="3362"/>
          </w:tcPr>
          <w:p>
            <w:pPr>
              <w:spacing w:after="40" w:before="40"/>
            </w:pPr>
            <w:r/>
            <w:r>
              <w:rPr>
                <w:rFonts w:ascii="Calibri" w:hAnsi="Calibri" w:eastAsia="Calibri"/>
                <w:b w:val="0"/>
                <w:i w:val="0"/>
                <w:color w:val="1A1A1A"/>
                <w:sz w:val="20"/>
              </w:rPr>
              <w:t>Never a typical-market guess from us.</w:t>
            </w:r>
          </w:p>
        </w:tc>
      </w:tr>
      <w:tr>
        <w:tc>
          <w:tcPr>
            <w:tcW w:type="dxa" w:w="3362"/>
            <w:shd w:fill="F4EFE6" w:val="clear"/>
          </w:tcPr>
          <w:p>
            <w:pPr>
              <w:spacing w:after="40" w:before="40"/>
            </w:pPr>
            <w:r/>
            <w:r>
              <w:rPr>
                <w:rFonts w:ascii="Calibri" w:hAnsi="Calibri" w:eastAsia="Calibri"/>
                <w:b w:val="0"/>
                <w:i w:val="0"/>
                <w:color w:val="1A1A1A"/>
                <w:sz w:val="20"/>
              </w:rPr>
              <w:t>Imputed months</w:t>
            </w:r>
          </w:p>
        </w:tc>
        <w:tc>
          <w:tcPr>
            <w:tcW w:type="dxa" w:w="3362"/>
            <w:shd w:fill="F4EFE6" w:val="clear"/>
          </w:tcPr>
          <w:p>
            <w:pPr>
              <w:spacing w:after="40" w:before="40"/>
            </w:pPr>
            <w:r/>
            <w:r>
              <w:rPr>
                <w:rFonts w:ascii="Calibri" w:hAnsi="Calibri" w:eastAsia="Calibri"/>
                <w:b w:val="0"/>
                <w:i w:val="0"/>
                <w:color w:val="1A1A1A"/>
                <w:sz w:val="20"/>
              </w:rPr>
              <w:t>On / off</w:t>
            </w:r>
          </w:p>
        </w:tc>
        <w:tc>
          <w:tcPr>
            <w:tcW w:type="dxa" w:w="3362"/>
            <w:shd w:fill="F4EFE6" w:val="clear"/>
          </w:tcPr>
          <w:p>
            <w:pPr>
              <w:spacing w:after="40" w:before="40"/>
            </w:pPr>
            <w:r/>
            <w:r>
              <w:rPr>
                <w:rFonts w:ascii="Calibri" w:hAnsi="Calibri" w:eastAsia="Calibri"/>
                <w:b w:val="0"/>
                <w:i w:val="0"/>
                <w:color w:val="1A1A1A"/>
                <w:sz w:val="20"/>
              </w:rPr>
              <w:t>Off unless instructed.</w:t>
            </w:r>
          </w:p>
        </w:tc>
      </w:tr>
    </w:tbl>
    <w:p/>
    <w:p>
      <w:pPr>
        <w:spacing w:after="160"/>
      </w:pPr>
      <w:r>
        <w:rPr>
          <w:rFonts w:ascii="Calibri" w:hAnsi="Calibri" w:eastAsia="Calibri"/>
          <w:b w:val="0"/>
          <w:i w:val="0"/>
          <w:color w:val="1A1A1A"/>
          <w:sz w:val="22"/>
        </w:rPr>
        <w:t>When a new combination arrives, it is not a redesign of the product. It is a new row on the instruction file and, if the Calculator cannot yet do it, a weekly-review item. Live cases stay on the frozen file until “agree” is written.</w:t>
      </w:r>
    </w:p>
    <w:p>
      <w:pPr>
        <w:pStyle w:val="Heading1"/>
      </w:pPr>
      <w:r>
        <w:rPr>
          <w:rFonts w:ascii="Calibri" w:hAnsi="Calibri"/>
          <w:color w:val="7A1F2B"/>
        </w:rPr>
        <w:t>3. Is the Calculator appropriate?</w:t>
      </w:r>
    </w:p>
    <w:p>
      <w:pPr>
        <w:spacing w:after="160"/>
      </w:pPr>
      <w:r>
        <w:rPr>
          <w:rFonts w:ascii="Calibri" w:hAnsi="Calibri" w:eastAsia="Calibri"/>
          <w:b w:val="0"/>
          <w:i w:val="0"/>
          <w:color w:val="1A1A1A"/>
          <w:sz w:val="22"/>
        </w:rPr>
        <w:t>The live file in the library is Crimson_Calculator_v2.10.xlsm (Home, Contracts, Bills, Lists). It was inspected for this plan.</w:t>
      </w:r>
    </w:p>
    <w:p>
      <w:pPr>
        <w:pStyle w:val="Heading2"/>
      </w:pPr>
      <w:r>
        <w:rPr>
          <w:rFonts w:ascii="Calibri" w:hAnsi="Calibri"/>
          <w:color w:val="7A1F2B"/>
        </w:rPr>
        <w:t>3.1 What it already does that we need</w:t>
      </w:r>
    </w:p>
    <w:p>
      <w:pPr>
        <w:pStyle w:val="ListBullet"/>
      </w:pPr>
      <w:r>
        <w:rPr>
          <w:rFonts w:ascii="Calibri" w:hAnsi="Calibri" w:eastAsia="Calibri"/>
          <w:b w:val="0"/>
          <w:i w:val="0"/>
          <w:color w:val="1A1A1A"/>
          <w:sz w:val="22"/>
        </w:rPr>
        <w:t>Case, sites, MPAN, broker, supplier on Home.</w:t>
      </w:r>
    </w:p>
    <w:p>
      <w:pPr>
        <w:pStyle w:val="ListBullet"/>
      </w:pPr>
      <w:r>
        <w:rPr>
          <w:rFonts w:ascii="Calibri" w:hAnsi="Calibri" w:eastAsia="Calibri"/>
          <w:b w:val="0"/>
          <w:i w:val="0"/>
          <w:color w:val="1A1A1A"/>
          <w:sz w:val="22"/>
        </w:rPr>
        <w:t>Commission Rate and Stat Int Rate as case-level inputs — the right place for solicitor-instructed rates.</w:t>
      </w:r>
    </w:p>
    <w:p>
      <w:pPr>
        <w:pStyle w:val="ListBullet"/>
      </w:pPr>
      <w:r>
        <w:rPr>
          <w:rFonts w:ascii="Calibri" w:hAnsi="Calibri" w:eastAsia="Calibri"/>
          <w:b w:val="0"/>
          <w:i w:val="0"/>
          <w:color w:val="1A1A1A"/>
          <w:sz w:val="22"/>
        </w:rPr>
        <w:t>Contracts: signed/start/end, standing charge, day/night (and further periods), EAC, bill rates, Fair Peak / Fair Base, length, quantum and statutory interest columns, overpayment before/after claim date.</w:t>
      </w:r>
    </w:p>
    <w:p>
      <w:pPr>
        <w:pStyle w:val="ListBullet"/>
      </w:pPr>
      <w:r>
        <w:rPr>
          <w:rFonts w:ascii="Calibri" w:hAnsi="Calibri" w:eastAsia="Calibri"/>
          <w:b w:val="0"/>
          <w:i w:val="0"/>
          <w:color w:val="1A1A1A"/>
          <w:sz w:val="22"/>
        </w:rPr>
        <w:t>Bills: period, kWh, payment, contractual utility cost, rescission payment, claim value, statutory interest, CCL, EBRS, imputed bills in italics.</w:t>
      </w:r>
    </w:p>
    <w:p>
      <w:pPr>
        <w:pStyle w:val="ListBullet"/>
      </w:pPr>
      <w:r>
        <w:rPr>
          <w:rFonts w:ascii="Calibri" w:hAnsi="Calibri" w:eastAsia="Calibri"/>
          <w:b w:val="0"/>
          <w:i w:val="0"/>
          <w:color w:val="1A1A1A"/>
          <w:sz w:val="22"/>
        </w:rPr>
        <w:t>Lists: utility types, standing-charge bases, CCL by year, brokers, suppliers.</w:t>
      </w:r>
    </w:p>
    <w:p>
      <w:pPr>
        <w:spacing w:after="160"/>
      </w:pPr>
      <w:r>
        <w:rPr>
          <w:rFonts w:ascii="Calibri" w:hAnsi="Calibri" w:eastAsia="Calibri"/>
          <w:b w:val="0"/>
          <w:i w:val="0"/>
          <w:color w:val="1A1A1A"/>
          <w:sz w:val="22"/>
        </w:rPr>
        <w:t>That is a working engine for contracts, bills, a fair-rate overpayment, a rescission column, and one statutory interest rate.</w:t>
      </w:r>
    </w:p>
    <w:p>
      <w:pPr>
        <w:pStyle w:val="Heading2"/>
      </w:pPr>
      <w:r>
        <w:rPr>
          <w:rFonts w:ascii="Calibri" w:hAnsi="Calibri"/>
          <w:color w:val="7A1F2B"/>
        </w:rPr>
        <w:t>3.2 What it does not yet do — and why that matters</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Gap</w:t>
            </w:r>
          </w:p>
        </w:tc>
        <w:tc>
          <w:tcPr>
            <w:tcW w:type="dxa" w:w="3362"/>
            <w:shd w:fill="7A1F2B" w:val="clear"/>
          </w:tcPr>
          <w:p>
            <w:pPr>
              <w:spacing w:after="40" w:before="40"/>
            </w:pPr>
            <w:r/>
            <w:r>
              <w:rPr>
                <w:rFonts w:ascii="Calibri" w:hAnsi="Calibri" w:eastAsia="Calibri"/>
                <w:b/>
                <w:i w:val="0"/>
                <w:color w:val="FFFFFF"/>
                <w:sz w:val="20"/>
              </w:rPr>
              <w:t>Why the solicitor will hit it</w:t>
            </w:r>
          </w:p>
        </w:tc>
        <w:tc>
          <w:tcPr>
            <w:tcW w:type="dxa" w:w="3362"/>
            <w:shd w:fill="7A1F2B" w:val="clear"/>
          </w:tcPr>
          <w:p>
            <w:pPr>
              <w:spacing w:after="40" w:before="40"/>
            </w:pPr>
            <w:r/>
            <w:r>
              <w:rPr>
                <w:rFonts w:ascii="Calibri" w:hAnsi="Calibri" w:eastAsia="Calibri"/>
                <w:b/>
                <w:i w:val="0"/>
                <w:color w:val="FFFFFF"/>
                <w:sz w:val="20"/>
              </w:rPr>
              <w:t>Required change (weekly review, then freeze)</w:t>
            </w:r>
          </w:p>
        </w:tc>
      </w:tr>
      <w:tr>
        <w:tc>
          <w:tcPr>
            <w:tcW w:type="dxa" w:w="3362"/>
          </w:tcPr>
          <w:p>
            <w:pPr>
              <w:spacing w:after="40" w:before="40"/>
            </w:pPr>
            <w:r/>
            <w:r>
              <w:rPr>
                <w:rFonts w:ascii="Calibri" w:hAnsi="Calibri" w:eastAsia="Calibri"/>
                <w:b w:val="0"/>
                <w:i w:val="0"/>
                <w:color w:val="1A1A1A"/>
                <w:sz w:val="20"/>
              </w:rPr>
              <w:t>One Stat Int Rate only</w:t>
            </w:r>
          </w:p>
        </w:tc>
        <w:tc>
          <w:tcPr>
            <w:tcW w:type="dxa" w:w="3362"/>
          </w:tcPr>
          <w:p>
            <w:pPr>
              <w:spacing w:after="40" w:before="40"/>
            </w:pPr>
            <w:r/>
            <w:r>
              <w:rPr>
                <w:rFonts w:ascii="Calibri" w:hAnsi="Calibri" w:eastAsia="Calibri"/>
                <w:b w:val="0"/>
                <w:i w:val="0"/>
                <w:color w:val="1A1A1A"/>
                <w:sz w:val="20"/>
              </w:rPr>
              <w:t>Wood / JDH use two rates (B on A, E on C or C+D). Mersenne/your instruction use one rate both sides. The file cannot currently hold both 4% and 2% at once, or 6% on A and 2% on C+D.</w:t>
            </w:r>
          </w:p>
        </w:tc>
        <w:tc>
          <w:tcPr>
            <w:tcW w:type="dxa" w:w="3362"/>
          </w:tcPr>
          <w:p>
            <w:pPr>
              <w:spacing w:after="40" w:before="40"/>
            </w:pPr>
            <w:r/>
            <w:r>
              <w:rPr>
                <w:rFonts w:ascii="Calibri" w:hAnsi="Calibri" w:eastAsia="Calibri"/>
                <w:b w:val="0"/>
                <w:i w:val="0"/>
                <w:color w:val="1A1A1A"/>
                <w:sz w:val="20"/>
              </w:rPr>
              <w:t>Add B rate and E rate as separate instructed cells. Default neither. If only one is instructed, the other stays blank unless the instruction says “same as B”.</w:t>
            </w:r>
          </w:p>
        </w:tc>
      </w:tr>
      <w:tr>
        <w:tc>
          <w:tcPr>
            <w:tcW w:type="dxa" w:w="3362"/>
            <w:shd w:fill="F4EFE6" w:val="clear"/>
          </w:tcPr>
          <w:p>
            <w:pPr>
              <w:spacing w:after="40" w:before="40"/>
            </w:pPr>
            <w:r/>
            <w:r>
              <w:rPr>
                <w:rFonts w:ascii="Calibri" w:hAnsi="Calibri" w:eastAsia="Calibri"/>
                <w:b w:val="0"/>
                <w:i w:val="0"/>
                <w:color w:val="1A1A1A"/>
                <w:sz w:val="20"/>
              </w:rPr>
              <w:t>No labelled C and D on a summary</w:t>
            </w:r>
          </w:p>
        </w:tc>
        <w:tc>
          <w:tcPr>
            <w:tcW w:type="dxa" w:w="3362"/>
            <w:shd w:fill="F4EFE6" w:val="clear"/>
          </w:tcPr>
          <w:p>
            <w:pPr>
              <w:spacing w:after="40" w:before="40"/>
            </w:pPr>
            <w:r/>
            <w:r>
              <w:rPr>
                <w:rFonts w:ascii="Calibri" w:hAnsi="Calibri" w:eastAsia="Calibri"/>
                <w:b w:val="0"/>
                <w:i w:val="0"/>
                <w:color w:val="1A1A1A"/>
                <w:sz w:val="20"/>
              </w:rPr>
              <w:t>A+B−(C+D+E) is the shape of the Carlin How and Centurion write-ups. Fair Peak/Base is a different door into a similar idea.</w:t>
            </w:r>
          </w:p>
        </w:tc>
        <w:tc>
          <w:tcPr>
            <w:tcW w:type="dxa" w:w="3362"/>
            <w:shd w:fill="F4EFE6" w:val="clear"/>
          </w:tcPr>
          <w:p>
            <w:pPr>
              <w:spacing w:after="40" w:before="40"/>
            </w:pPr>
            <w:r/>
            <w:r>
              <w:rPr>
                <w:rFonts w:ascii="Calibri" w:hAnsi="Calibri" w:eastAsia="Calibri"/>
                <w:b w:val="0"/>
                <w:i w:val="0"/>
                <w:color w:val="1A1A1A"/>
                <w:sz w:val="20"/>
              </w:rPr>
              <w:t>Add a Method panel: C (£ or p/kWh source), D mode (none / % of C / actual £), B, E, calculation date.</w:t>
            </w:r>
          </w:p>
        </w:tc>
      </w:tr>
      <w:tr>
        <w:tc>
          <w:tcPr>
            <w:tcW w:type="dxa" w:w="3362"/>
          </w:tcPr>
          <w:p>
            <w:pPr>
              <w:spacing w:after="40" w:before="40"/>
            </w:pPr>
            <w:r/>
            <w:r>
              <w:rPr>
                <w:rFonts w:ascii="Calibri" w:hAnsi="Calibri" w:eastAsia="Calibri"/>
                <w:b w:val="0"/>
                <w:i w:val="0"/>
                <w:color w:val="1A1A1A"/>
                <w:sz w:val="20"/>
              </w:rPr>
              <w:t>No side-by-side methods</w:t>
            </w:r>
          </w:p>
        </w:tc>
        <w:tc>
          <w:tcPr>
            <w:tcW w:type="dxa" w:w="3362"/>
          </w:tcPr>
          <w:p>
            <w:pPr>
              <w:spacing w:after="40" w:before="40"/>
            </w:pPr>
            <w:r/>
            <w:r>
              <w:rPr>
                <w:rFonts w:ascii="Calibri" w:hAnsi="Calibri" w:eastAsia="Calibri"/>
                <w:b w:val="0"/>
                <w:i w:val="0"/>
                <w:color w:val="1A1A1A"/>
                <w:sz w:val="20"/>
              </w:rPr>
              <w:t>Counsel treat fair-cost, Wood, and commission as different lines. The report must show all instructed lines.</w:t>
            </w:r>
          </w:p>
        </w:tc>
        <w:tc>
          <w:tcPr>
            <w:tcW w:type="dxa" w:w="3362"/>
          </w:tcPr>
          <w:p>
            <w:pPr>
              <w:spacing w:after="40" w:before="40"/>
            </w:pPr>
            <w:r/>
            <w:r>
              <w:rPr>
                <w:rFonts w:ascii="Calibri" w:hAnsi="Calibri" w:eastAsia="Calibri"/>
                <w:b w:val="0"/>
                <w:i w:val="0"/>
                <w:color w:val="1A1A1A"/>
                <w:sz w:val="20"/>
              </w:rPr>
              <w:t>Output three results (or as many as instructed), each marked sourced / proxy / instructed. Headline chosen by the instruction, not by the spreadsheet author.</w:t>
            </w:r>
          </w:p>
        </w:tc>
      </w:tr>
      <w:tr>
        <w:tc>
          <w:tcPr>
            <w:tcW w:type="dxa" w:w="3362"/>
            <w:shd w:fill="F4EFE6" w:val="clear"/>
          </w:tcPr>
          <w:p>
            <w:pPr>
              <w:spacing w:after="40" w:before="40"/>
            </w:pPr>
            <w:r/>
            <w:r>
              <w:rPr>
                <w:rFonts w:ascii="Calibri" w:hAnsi="Calibri" w:eastAsia="Calibri"/>
                <w:b w:val="0"/>
                <w:i w:val="0"/>
                <w:color w:val="1A1A1A"/>
                <w:sz w:val="20"/>
              </w:rPr>
              <w:t>Wholesale series not in the file</w:t>
            </w:r>
          </w:p>
        </w:tc>
        <w:tc>
          <w:tcPr>
            <w:tcW w:type="dxa" w:w="3362"/>
            <w:shd w:fill="F4EFE6" w:val="clear"/>
          </w:tcPr>
          <w:p>
            <w:pPr>
              <w:spacing w:after="40" w:before="40"/>
            </w:pPr>
            <w:r/>
            <w:r>
              <w:rPr>
                <w:rFonts w:ascii="Calibri" w:hAnsi="Calibri" w:eastAsia="Calibri"/>
                <w:b w:val="0"/>
                <w:i w:val="0"/>
                <w:color w:val="1A1A1A"/>
                <w:sz w:val="20"/>
              </w:rPr>
              <w:t>JDH used OFGEM averages; Mersenne used wholesale + 40%. Neither series is a sheet in v2.10.</w:t>
            </w:r>
          </w:p>
        </w:tc>
        <w:tc>
          <w:tcPr>
            <w:tcW w:type="dxa" w:w="3362"/>
            <w:shd w:fill="F4EFE6" w:val="clear"/>
          </w:tcPr>
          <w:p>
            <w:pPr>
              <w:spacing w:after="40" w:before="40"/>
            </w:pPr>
            <w:r/>
            <w:r>
              <w:rPr>
                <w:rFonts w:ascii="Calibri" w:hAnsi="Calibri" w:eastAsia="Calibri"/>
                <w:b w:val="0"/>
                <w:i w:val="0"/>
                <w:color w:val="1A1A1A"/>
                <w:sz w:val="20"/>
              </w:rPr>
              <w:t>Do not embed a guessed series. Allow C to be pasted from a named source file, or left blank. Adding a published series is a weekly-review agree only.</w:t>
            </w:r>
          </w:p>
        </w:tc>
      </w:tr>
      <w:tr>
        <w:tc>
          <w:tcPr>
            <w:tcW w:type="dxa" w:w="3362"/>
          </w:tcPr>
          <w:p>
            <w:pPr>
              <w:spacing w:after="40" w:before="40"/>
            </w:pPr>
            <w:r/>
            <w:r>
              <w:rPr>
                <w:rFonts w:ascii="Calibri" w:hAnsi="Calibri" w:eastAsia="Calibri"/>
                <w:b w:val="0"/>
                <w:i w:val="0"/>
                <w:color w:val="1A1A1A"/>
                <w:sz w:val="20"/>
              </w:rPr>
              <w:t>Fair Peak / Fair Base can be typed with no source</w:t>
            </w:r>
          </w:p>
        </w:tc>
        <w:tc>
          <w:tcPr>
            <w:tcW w:type="dxa" w:w="3362"/>
          </w:tcPr>
          <w:p>
            <w:pPr>
              <w:spacing w:after="40" w:before="40"/>
            </w:pPr>
            <w:r/>
            <w:r>
              <w:rPr>
                <w:rFonts w:ascii="Calibri" w:hAnsi="Calibri" w:eastAsia="Calibri"/>
                <w:b w:val="0"/>
                <w:i w:val="0"/>
                <w:color w:val="1A1A1A"/>
                <w:sz w:val="20"/>
              </w:rPr>
              <w:t>That is how a 40% proxy or a “typical” rate could sneak in unmarked.</w:t>
            </w:r>
          </w:p>
        </w:tc>
        <w:tc>
          <w:tcPr>
            <w:tcW w:type="dxa" w:w="3362"/>
          </w:tcPr>
          <w:p>
            <w:pPr>
              <w:spacing w:after="40" w:before="40"/>
            </w:pPr>
            <w:r/>
            <w:r>
              <w:rPr>
                <w:rFonts w:ascii="Calibri" w:hAnsi="Calibri" w:eastAsia="Calibri"/>
                <w:b w:val="0"/>
                <w:i w:val="0"/>
                <w:color w:val="1A1A1A"/>
                <w:sz w:val="20"/>
              </w:rPr>
              <w:t>Fair rates accepted only with a source tag (instruction / named report / blank). Blank means Method fair-cost does not run.</w:t>
            </w:r>
          </w:p>
        </w:tc>
      </w:tr>
      <w:tr>
        <w:tc>
          <w:tcPr>
            <w:tcW w:type="dxa" w:w="3362"/>
            <w:shd w:fill="F4EFE6" w:val="clear"/>
          </w:tcPr>
          <w:p>
            <w:pPr>
              <w:spacing w:after="40" w:before="40"/>
            </w:pPr>
            <w:r/>
            <w:r>
              <w:rPr>
                <w:rFonts w:ascii="Calibri" w:hAnsi="Calibri" w:eastAsia="Calibri"/>
                <w:b w:val="0"/>
                <w:i w:val="0"/>
                <w:color w:val="1A1A1A"/>
                <w:sz w:val="20"/>
              </w:rPr>
              <w:t>Macros stay in the .xlsm</w:t>
            </w:r>
          </w:p>
        </w:tc>
        <w:tc>
          <w:tcPr>
            <w:tcW w:type="dxa" w:w="3362"/>
            <w:shd w:fill="F4EFE6" w:val="clear"/>
          </w:tcPr>
          <w:p>
            <w:pPr>
              <w:spacing w:after="40" w:before="40"/>
            </w:pPr>
            <w:r/>
            <w:r>
              <w:rPr>
                <w:rFonts w:ascii="Calibri" w:hAnsi="Calibri" w:eastAsia="Calibri"/>
                <w:b w:val="0"/>
                <w:i w:val="0"/>
                <w:color w:val="1A1A1A"/>
                <w:sz w:val="20"/>
              </w:rPr>
              <w:t>Extract can write values; it must not strip VBA.</w:t>
            </w:r>
          </w:p>
        </w:tc>
        <w:tc>
          <w:tcPr>
            <w:tcW w:type="dxa" w:w="3362"/>
            <w:shd w:fill="F4EFE6" w:val="clear"/>
          </w:tcPr>
          <w:p>
            <w:pPr>
              <w:spacing w:after="40" w:before="40"/>
            </w:pPr>
            <w:r/>
            <w:r>
              <w:rPr>
                <w:rFonts w:ascii="Calibri" w:hAnsi="Calibri" w:eastAsia="Calibri"/>
                <w:b w:val="0"/>
                <w:i w:val="0"/>
                <w:color w:val="1A1A1A"/>
                <w:sz w:val="20"/>
              </w:rPr>
              <w:t>Populate cells, keep the workbook. Test after each fill.</w:t>
            </w:r>
          </w:p>
        </w:tc>
      </w:tr>
    </w:tbl>
    <w:p/>
    <w:p>
      <w:pPr>
        <w:spacing w:after="160"/>
      </w:pPr>
      <w:r>
        <w:rPr>
          <w:rFonts w:ascii="Calibri" w:hAnsi="Calibri" w:eastAsia="Calibri"/>
          <w:b/>
          <w:i w:val="0"/>
          <w:color w:val="1A1A1A"/>
          <w:sz w:val="22"/>
        </w:rPr>
        <w:t>Verdict: v2.10 is the right host for contracts and bills, and it is not yet sufficient for solicitor-led method switching. It is appropriate as the frozen live file for data entry today. It is not appropriate to sell as “the Calculator finishes Wood, fair-cost and commission to instruction” until the Method panel above is built, tested on Carlin How numbers, and frozen.</w:t>
      </w:r>
    </w:p>
    <w:p>
      <w:pPr>
        <w:pStyle w:val="Heading1"/>
      </w:pPr>
      <w:r>
        <w:rPr>
          <w:rFonts w:ascii="Calibri" w:hAnsi="Calibri"/>
          <w:color w:val="7A1F2B"/>
        </w:rPr>
        <w:t>4. What “done” looks like</w:t>
      </w:r>
    </w:p>
    <w:p>
      <w:pPr>
        <w:pStyle w:val="Heading2"/>
      </w:pPr>
      <w:r>
        <w:rPr>
          <w:rFonts w:ascii="Calibri" w:hAnsi="Calibri"/>
          <w:color w:val="7A1F2B"/>
        </w:rPr>
        <w:t>4.1 Usable (your desk)</w:t>
      </w:r>
    </w:p>
    <w:p>
      <w:pPr>
        <w:spacing w:after="160"/>
      </w:pPr>
      <w:r>
        <w:rPr>
          <w:rFonts w:ascii="Calibri" w:hAnsi="Calibri" w:eastAsia="Calibri"/>
          <w:b w:val="0"/>
          <w:i w:val="0"/>
          <w:color w:val="1A1A1A"/>
          <w:sz w:val="22"/>
        </w:rPr>
        <w:t>A complete energy folder in. Intake report, Data Bridge, Calculator, and a Carlin How–style valuation out. Four-eyes signed. Solicitor can instruct a different B, E or D and the same papers re-run without rewriting the product.</w:t>
      </w:r>
    </w:p>
    <w:p>
      <w:pPr>
        <w:pStyle w:val="Heading2"/>
      </w:pPr>
      <w:r>
        <w:rPr>
          <w:rFonts w:ascii="Calibri" w:hAnsi="Calibri"/>
          <w:color w:val="7A1F2B"/>
        </w:rPr>
        <w:t>4.2 Sellable (a buyer’s desk)</w:t>
      </w:r>
    </w:p>
    <w:p>
      <w:pPr>
        <w:spacing w:after="160"/>
      </w:pPr>
      <w:r>
        <w:rPr>
          <w:rFonts w:ascii="Calibri" w:hAnsi="Calibri" w:eastAsia="Calibri"/>
          <w:b w:val="0"/>
          <w:i w:val="0"/>
          <w:color w:val="1A1A1A"/>
          <w:sz w:val="22"/>
        </w:rPr>
        <w:t>The same loop on a second PC, from an installer, with a brand file, without the build team in the room. Screen optional. Limitations written on the tin.</w:t>
      </w:r>
    </w:p>
    <w:p>
      <w:pPr>
        <w:pStyle w:val="Heading1"/>
      </w:pPr>
      <w:r>
        <w:rPr>
          <w:rFonts w:ascii="Calibri" w:hAnsi="Calibri"/>
          <w:color w:val="7A1F2B"/>
        </w:rPr>
        <w:t>5. Who does what, and when</w:t>
      </w:r>
    </w:p>
    <w:p>
      <w:pPr>
        <w:spacing w:after="160"/>
      </w:pPr>
      <w:r>
        <w:rPr>
          <w:rFonts w:ascii="Calibri" w:hAnsi="Calibri" w:eastAsia="Calibri"/>
          <w:b w:val="0"/>
          <w:i w:val="0"/>
          <w:color w:val="1A1A1A"/>
          <w:sz w:val="22"/>
        </w:rPr>
        <w:t>Owner = the person who will sell or run the product. Operator = first desk user. Reviewer = second pair of eyes. Builder = Crimson Horse engineering (this Agent). Solicitor = the instructing solicitor on the live case. JF in the earlier notes is treated as Owner unless you name someone else.</w:t>
      </w:r>
    </w:p>
    <w:p>
      <w:pPr>
        <w:pStyle w:val="Heading2"/>
      </w:pPr>
      <w:r>
        <w:rPr>
          <w:rFonts w:ascii="Calibri" w:hAnsi="Calibri"/>
          <w:color w:val="7A1F2B"/>
        </w:rPr>
        <w:t>Phase A — freeze and policy (this week, before another case)</w:t>
      </w:r>
    </w:p>
    <w:tbl>
      <w:tblPr>
        <w:tblStyle w:val="TableGrid"/>
        <w:tblW w:type="auto" w:w="0"/>
        <w:tblLook w:firstColumn="1" w:firstRow="1" w:lastColumn="0" w:lastRow="0" w:noHBand="0" w:noVBand="1" w:val="04A0"/>
      </w:tblPr>
      <w:tblGrid>
        <w:gridCol w:w="2017"/>
        <w:gridCol w:w="2017"/>
        <w:gridCol w:w="2017"/>
        <w:gridCol w:w="2017"/>
        <w:gridCol w:w="2017"/>
      </w:tblGrid>
      <w:tr>
        <w:tc>
          <w:tcPr>
            <w:tcW w:type="dxa" w:w="2017"/>
            <w:shd w:fill="7A1F2B" w:val="clear"/>
          </w:tcPr>
          <w:p>
            <w:pPr>
              <w:spacing w:after="40" w:before="40"/>
            </w:pPr>
            <w:r/>
            <w:r>
              <w:rPr>
                <w:rFonts w:ascii="Calibri" w:hAnsi="Calibri" w:eastAsia="Calibri"/>
                <w:b/>
                <w:i w:val="0"/>
                <w:color w:val="FFFFFF"/>
                <w:sz w:val="20"/>
              </w:rPr>
              <w:t>#</w:t>
            </w:r>
          </w:p>
        </w:tc>
        <w:tc>
          <w:tcPr>
            <w:tcW w:type="dxa" w:w="2017"/>
            <w:shd w:fill="7A1F2B" w:val="clear"/>
          </w:tcPr>
          <w:p>
            <w:pPr>
              <w:spacing w:after="40" w:before="40"/>
            </w:pPr>
            <w:r/>
            <w:r>
              <w:rPr>
                <w:rFonts w:ascii="Calibri" w:hAnsi="Calibri" w:eastAsia="Calibri"/>
                <w:b/>
                <w:i w:val="0"/>
                <w:color w:val="FFFFFF"/>
                <w:sz w:val="20"/>
              </w:rPr>
              <w:t>Task</w:t>
            </w:r>
          </w:p>
        </w:tc>
        <w:tc>
          <w:tcPr>
            <w:tcW w:type="dxa" w:w="2017"/>
            <w:shd w:fill="7A1F2B" w:val="clear"/>
          </w:tcPr>
          <w:p>
            <w:pPr>
              <w:spacing w:after="40" w:before="40"/>
            </w:pPr>
            <w:r/>
            <w:r>
              <w:rPr>
                <w:rFonts w:ascii="Calibri" w:hAnsi="Calibri" w:eastAsia="Calibri"/>
                <w:b/>
                <w:i w:val="0"/>
                <w:color w:val="FFFFFF"/>
                <w:sz w:val="20"/>
              </w:rPr>
              <w:t>Who</w:t>
            </w:r>
          </w:p>
        </w:tc>
        <w:tc>
          <w:tcPr>
            <w:tcW w:type="dxa" w:w="2017"/>
            <w:shd w:fill="7A1F2B" w:val="clear"/>
          </w:tcPr>
          <w:p>
            <w:pPr>
              <w:spacing w:after="40" w:before="40"/>
            </w:pPr>
            <w:r/>
            <w:r>
              <w:rPr>
                <w:rFonts w:ascii="Calibri" w:hAnsi="Calibri" w:eastAsia="Calibri"/>
                <w:b/>
                <w:i w:val="0"/>
                <w:color w:val="FFFFFF"/>
                <w:sz w:val="20"/>
              </w:rPr>
              <w:t>Done when</w:t>
            </w:r>
          </w:p>
        </w:tc>
        <w:tc>
          <w:tcPr>
            <w:tcW w:type="dxa" w:w="2017"/>
            <w:shd w:fill="7A1F2B" w:val="clear"/>
          </w:tcPr>
          <w:p>
            <w:pPr>
              <w:spacing w:after="40" w:before="40"/>
            </w:pPr>
            <w:r/>
            <w:r>
              <w:rPr>
                <w:rFonts w:ascii="Calibri" w:hAnsi="Calibri" w:eastAsia="Calibri"/>
                <w:b/>
                <w:i w:val="0"/>
                <w:color w:val="FFFFFF"/>
                <w:sz w:val="20"/>
              </w:rPr>
              <w:t>Library file to use</w:t>
            </w:r>
          </w:p>
        </w:tc>
      </w:tr>
      <w:tr>
        <w:tc>
          <w:tcPr>
            <w:tcW w:type="dxa" w:w="2017"/>
          </w:tcPr>
          <w:p>
            <w:pPr>
              <w:spacing w:after="40" w:before="40"/>
            </w:pPr>
            <w:r/>
            <w:r>
              <w:rPr>
                <w:rFonts w:ascii="Calibri" w:hAnsi="Calibri" w:eastAsia="Calibri"/>
                <w:b w:val="0"/>
                <w:i w:val="0"/>
                <w:color w:val="1A1A1A"/>
                <w:sz w:val="20"/>
              </w:rPr>
              <w:t>A1</w:t>
            </w:r>
          </w:p>
        </w:tc>
        <w:tc>
          <w:tcPr>
            <w:tcW w:type="dxa" w:w="2017"/>
          </w:tcPr>
          <w:p>
            <w:pPr>
              <w:spacing w:after="40" w:before="40"/>
            </w:pPr>
            <w:r/>
            <w:r>
              <w:rPr>
                <w:rFonts w:ascii="Calibri" w:hAnsi="Calibri" w:eastAsia="Calibri"/>
                <w:b w:val="0"/>
                <w:i w:val="0"/>
                <w:color w:val="1A1A1A"/>
                <w:sz w:val="20"/>
              </w:rPr>
              <w:t>Name owner, operator, reviewer. One machine for v1.</w:t>
            </w:r>
          </w:p>
        </w:tc>
        <w:tc>
          <w:tcPr>
            <w:tcW w:type="dxa" w:w="2017"/>
          </w:tcPr>
          <w:p>
            <w:pPr>
              <w:spacing w:after="40" w:before="40"/>
            </w:pPr>
            <w:r/>
            <w:r>
              <w:rPr>
                <w:rFonts w:ascii="Calibri" w:hAnsi="Calibri" w:eastAsia="Calibri"/>
                <w:b w:val="0"/>
                <w:i w:val="0"/>
                <w:color w:val="1A1A1A"/>
                <w:sz w:val="20"/>
              </w:rPr>
              <w:t>Owner</w:t>
            </w:r>
          </w:p>
        </w:tc>
        <w:tc>
          <w:tcPr>
            <w:tcW w:type="dxa" w:w="2017"/>
          </w:tcPr>
          <w:p>
            <w:pPr>
              <w:spacing w:after="40" w:before="40"/>
            </w:pPr>
            <w:r/>
            <w:r>
              <w:rPr>
                <w:rFonts w:ascii="Calibri" w:hAnsi="Calibri" w:eastAsia="Calibri"/>
                <w:b w:val="0"/>
                <w:i w:val="0"/>
                <w:color w:val="1A1A1A"/>
                <w:sz w:val="20"/>
              </w:rPr>
              <w:t>Names written on the go-live checklist</w:t>
            </w:r>
          </w:p>
        </w:tc>
        <w:tc>
          <w:tcPr>
            <w:tcW w:type="dxa" w:w="2017"/>
          </w:tcPr>
          <w:p>
            <w:pPr>
              <w:spacing w:after="40" w:before="40"/>
            </w:pPr>
            <w:r/>
            <w:r>
              <w:rPr>
                <w:rFonts w:ascii="Calibri" w:hAnsi="Calibri" w:eastAsia="Calibri"/>
                <w:b w:val="0"/>
                <w:i w:val="0"/>
                <w:color w:val="1A1A1A"/>
                <w:sz w:val="20"/>
              </w:rPr>
              <w:t>Go-live checklist; First week on a desk</w:t>
            </w:r>
          </w:p>
        </w:tc>
      </w:tr>
      <w:tr>
        <w:tc>
          <w:tcPr>
            <w:tcW w:type="dxa" w:w="2017"/>
            <w:shd w:fill="F4EFE6" w:val="clear"/>
          </w:tcPr>
          <w:p>
            <w:pPr>
              <w:spacing w:after="40" w:before="40"/>
            </w:pPr>
            <w:r/>
            <w:r>
              <w:rPr>
                <w:rFonts w:ascii="Calibri" w:hAnsi="Calibri" w:eastAsia="Calibri"/>
                <w:b w:val="0"/>
                <w:i w:val="0"/>
                <w:color w:val="1A1A1A"/>
                <w:sz w:val="20"/>
              </w:rPr>
              <w:t>A2</w:t>
            </w:r>
          </w:p>
        </w:tc>
        <w:tc>
          <w:tcPr>
            <w:tcW w:type="dxa" w:w="2017"/>
            <w:shd w:fill="F4EFE6" w:val="clear"/>
          </w:tcPr>
          <w:p>
            <w:pPr>
              <w:spacing w:after="40" w:before="40"/>
            </w:pPr>
            <w:r/>
            <w:r>
              <w:rPr>
                <w:rFonts w:ascii="Calibri" w:hAnsi="Calibri" w:eastAsia="Calibri"/>
                <w:b w:val="0"/>
                <w:i w:val="0"/>
                <w:color w:val="1A1A1A"/>
                <w:sz w:val="20"/>
              </w:rPr>
              <w:t>Adopt this delivery plan and the method policy in section 2.</w:t>
            </w:r>
          </w:p>
        </w:tc>
        <w:tc>
          <w:tcPr>
            <w:tcW w:type="dxa" w:w="2017"/>
            <w:shd w:fill="F4EFE6" w:val="clear"/>
          </w:tcPr>
          <w:p>
            <w:pPr>
              <w:spacing w:after="40" w:before="40"/>
            </w:pPr>
            <w:r/>
            <w:r>
              <w:rPr>
                <w:rFonts w:ascii="Calibri" w:hAnsi="Calibri" w:eastAsia="Calibri"/>
                <w:b w:val="0"/>
                <w:i w:val="0"/>
                <w:color w:val="1A1A1A"/>
                <w:sz w:val="20"/>
              </w:rPr>
              <w:t>Owner</w:t>
            </w:r>
          </w:p>
        </w:tc>
        <w:tc>
          <w:tcPr>
            <w:tcW w:type="dxa" w:w="2017"/>
            <w:shd w:fill="F4EFE6" w:val="clear"/>
          </w:tcPr>
          <w:p>
            <w:pPr>
              <w:spacing w:after="40" w:before="40"/>
            </w:pPr>
            <w:r/>
            <w:r>
              <w:rPr>
                <w:rFonts w:ascii="Calibri" w:hAnsi="Calibri" w:eastAsia="Calibri"/>
                <w:b w:val="0"/>
                <w:i w:val="0"/>
                <w:color w:val="1A1A1A"/>
                <w:sz w:val="20"/>
              </w:rPr>
              <w:t>This file dated and kept with the live Calculator</w:t>
            </w:r>
          </w:p>
        </w:tc>
        <w:tc>
          <w:tcPr>
            <w:tcW w:type="dxa" w:w="2017"/>
            <w:shd w:fill="F4EFE6" w:val="clear"/>
          </w:tcPr>
          <w:p>
            <w:pPr>
              <w:spacing w:after="40" w:before="40"/>
            </w:pPr>
            <w:r/>
            <w:r>
              <w:rPr>
                <w:rFonts w:ascii="Calibri" w:hAnsi="Calibri" w:eastAsia="Calibri"/>
                <w:b w:val="0"/>
                <w:i w:val="0"/>
                <w:color w:val="1A1A1A"/>
                <w:sz w:val="20"/>
              </w:rPr>
              <w:t>This plan; Weekly review; Solicitor-instructed commission and interest</w:t>
            </w:r>
          </w:p>
        </w:tc>
      </w:tr>
      <w:tr>
        <w:tc>
          <w:tcPr>
            <w:tcW w:type="dxa" w:w="2017"/>
          </w:tcPr>
          <w:p>
            <w:pPr>
              <w:spacing w:after="40" w:before="40"/>
            </w:pPr>
            <w:r/>
            <w:r>
              <w:rPr>
                <w:rFonts w:ascii="Calibri" w:hAnsi="Calibri" w:eastAsia="Calibri"/>
                <w:b w:val="0"/>
                <w:i w:val="0"/>
                <w:color w:val="1A1A1A"/>
                <w:sz w:val="20"/>
              </w:rPr>
              <w:t>A3</w:t>
            </w:r>
          </w:p>
        </w:tc>
        <w:tc>
          <w:tcPr>
            <w:tcW w:type="dxa" w:w="2017"/>
          </w:tcPr>
          <w:p>
            <w:pPr>
              <w:spacing w:after="40" w:before="40"/>
            </w:pPr>
            <w:r/>
            <w:r>
              <w:rPr>
                <w:rFonts w:ascii="Calibri" w:hAnsi="Calibri" w:eastAsia="Calibri"/>
                <w:b w:val="0"/>
                <w:i w:val="0"/>
                <w:color w:val="1A1A1A"/>
                <w:sz w:val="20"/>
              </w:rPr>
              <w:t>Freeze live files: Calculator v2.10, empty Data Bridge, current valuation template, four-eyes sheet.</w:t>
            </w:r>
          </w:p>
        </w:tc>
        <w:tc>
          <w:tcPr>
            <w:tcW w:type="dxa" w:w="2017"/>
          </w:tcPr>
          <w:p>
            <w:pPr>
              <w:spacing w:after="40" w:before="40"/>
            </w:pPr>
            <w:r/>
            <w:r>
              <w:rPr>
                <w:rFonts w:ascii="Calibri" w:hAnsi="Calibri" w:eastAsia="Calibri"/>
                <w:b w:val="0"/>
                <w:i w:val="0"/>
                <w:color w:val="1A1A1A"/>
                <w:sz w:val="20"/>
              </w:rPr>
              <w:t>Owner + operator</w:t>
            </w:r>
          </w:p>
        </w:tc>
        <w:tc>
          <w:tcPr>
            <w:tcW w:type="dxa" w:w="2017"/>
          </w:tcPr>
          <w:p>
            <w:pPr>
              <w:spacing w:after="40" w:before="40"/>
            </w:pPr>
            <w:r/>
            <w:r>
              <w:rPr>
                <w:rFonts w:ascii="Calibri" w:hAnsi="Calibri" w:eastAsia="Calibri"/>
                <w:b w:val="0"/>
                <w:i w:val="0"/>
                <w:color w:val="1A1A1A"/>
                <w:sz w:val="20"/>
              </w:rPr>
              <w:t>Only those files on the desk</w:t>
            </w:r>
          </w:p>
        </w:tc>
        <w:tc>
          <w:tcPr>
            <w:tcW w:type="dxa" w:w="2017"/>
          </w:tcPr>
          <w:p>
            <w:pPr>
              <w:spacing w:after="40" w:before="40"/>
            </w:pPr>
            <w:r/>
            <w:r>
              <w:rPr>
                <w:rFonts w:ascii="Calibri" w:hAnsi="Calibri" w:eastAsia="Calibri"/>
                <w:b w:val="0"/>
                <w:i w:val="0"/>
                <w:color w:val="1A1A1A"/>
                <w:sz w:val="20"/>
              </w:rPr>
              <w:t>working/; templates/BEC_Hybrid_Quantum_Valuation_Template_v2.docx</w:t>
            </w:r>
          </w:p>
        </w:tc>
      </w:tr>
      <w:tr>
        <w:tc>
          <w:tcPr>
            <w:tcW w:type="dxa" w:w="2017"/>
            <w:shd w:fill="F4EFE6" w:val="clear"/>
          </w:tcPr>
          <w:p>
            <w:pPr>
              <w:spacing w:after="40" w:before="40"/>
            </w:pPr>
            <w:r/>
            <w:r>
              <w:rPr>
                <w:rFonts w:ascii="Calibri" w:hAnsi="Calibri" w:eastAsia="Calibri"/>
                <w:b w:val="0"/>
                <w:i w:val="0"/>
                <w:color w:val="1A1A1A"/>
                <w:sz w:val="20"/>
              </w:rPr>
              <w:t>A4</w:t>
            </w:r>
          </w:p>
        </w:tc>
        <w:tc>
          <w:tcPr>
            <w:tcW w:type="dxa" w:w="2017"/>
            <w:shd w:fill="F4EFE6" w:val="clear"/>
          </w:tcPr>
          <w:p>
            <w:pPr>
              <w:spacing w:after="40" w:before="40"/>
            </w:pPr>
            <w:r/>
            <w:r>
              <w:rPr>
                <w:rFonts w:ascii="Calibri" w:hAnsi="Calibri" w:eastAsia="Calibri"/>
                <w:b w:val="0"/>
                <w:i w:val="0"/>
                <w:color w:val="1A1A1A"/>
                <w:sz w:val="20"/>
              </w:rPr>
              <w:t>Write the instruction template the solicitor will sign: headline method, B, E, D mode, imputed bills yes/no, calculation date.</w:t>
            </w:r>
          </w:p>
        </w:tc>
        <w:tc>
          <w:tcPr>
            <w:tcW w:type="dxa" w:w="2017"/>
            <w:shd w:fill="F4EFE6" w:val="clear"/>
          </w:tcPr>
          <w:p>
            <w:pPr>
              <w:spacing w:after="40" w:before="40"/>
            </w:pPr>
            <w:r/>
            <w:r>
              <w:rPr>
                <w:rFonts w:ascii="Calibri" w:hAnsi="Calibri" w:eastAsia="Calibri"/>
                <w:b w:val="0"/>
                <w:i w:val="0"/>
                <w:color w:val="1A1A1A"/>
                <w:sz w:val="20"/>
              </w:rPr>
              <w:t>Builder then Owner</w:t>
            </w:r>
          </w:p>
        </w:tc>
        <w:tc>
          <w:tcPr>
            <w:tcW w:type="dxa" w:w="2017"/>
            <w:shd w:fill="F4EFE6" w:val="clear"/>
          </w:tcPr>
          <w:p>
            <w:pPr>
              <w:spacing w:after="40" w:before="40"/>
            </w:pPr>
            <w:r/>
            <w:r>
              <w:rPr>
                <w:rFonts w:ascii="Calibri" w:hAnsi="Calibri" w:eastAsia="Calibri"/>
                <w:b w:val="0"/>
                <w:i w:val="0"/>
                <w:color w:val="1A1A1A"/>
                <w:sz w:val="20"/>
              </w:rPr>
              <w:t>instruction.example.json matches the Word note the solicitor sees</w:t>
            </w:r>
          </w:p>
        </w:tc>
        <w:tc>
          <w:tcPr>
            <w:tcW w:type="dxa" w:w="2017"/>
            <w:shd w:fill="F4EFE6" w:val="clear"/>
          </w:tcPr>
          <w:p>
            <w:pPr>
              <w:spacing w:after="40" w:before="40"/>
            </w:pPr>
            <w:r/>
            <w:r>
              <w:rPr>
                <w:rFonts w:ascii="Calibri" w:hAnsi="Calibri" w:eastAsia="Calibri"/>
                <w:b w:val="0"/>
                <w:i w:val="0"/>
                <w:color w:val="1A1A1A"/>
                <w:sz w:val="20"/>
              </w:rPr>
              <w:t>examples/instruction.example.json; Solicitor_Instructed_Commission_and_Interest.docx</w:t>
            </w:r>
          </w:p>
        </w:tc>
      </w:tr>
      <w:tr>
        <w:tc>
          <w:tcPr>
            <w:tcW w:type="dxa" w:w="2017"/>
          </w:tcPr>
          <w:p>
            <w:pPr>
              <w:spacing w:after="40" w:before="40"/>
            </w:pPr>
            <w:r/>
            <w:r>
              <w:rPr>
                <w:rFonts w:ascii="Calibri" w:hAnsi="Calibri" w:eastAsia="Calibri"/>
                <w:b w:val="0"/>
                <w:i w:val="0"/>
                <w:color w:val="1A1A1A"/>
                <w:sz w:val="20"/>
              </w:rPr>
              <w:t>A5</w:t>
            </w:r>
          </w:p>
        </w:tc>
        <w:tc>
          <w:tcPr>
            <w:tcW w:type="dxa" w:w="2017"/>
          </w:tcPr>
          <w:p>
            <w:pPr>
              <w:spacing w:after="40" w:before="40"/>
            </w:pPr>
            <w:r/>
            <w:r>
              <w:rPr>
                <w:rFonts w:ascii="Calibri" w:hAnsi="Calibri" w:eastAsia="Calibri"/>
                <w:b w:val="0"/>
                <w:i w:val="0"/>
                <w:color w:val="1A1A1A"/>
                <w:sz w:val="20"/>
              </w:rPr>
              <w:t>Publish or share the library (48+ files). Staff know where it lives.</w:t>
            </w:r>
          </w:p>
        </w:tc>
        <w:tc>
          <w:tcPr>
            <w:tcW w:type="dxa" w:w="2017"/>
          </w:tcPr>
          <w:p>
            <w:pPr>
              <w:spacing w:after="40" w:before="40"/>
            </w:pPr>
            <w:r/>
            <w:r>
              <w:rPr>
                <w:rFonts w:ascii="Calibri" w:hAnsi="Calibri" w:eastAsia="Calibri"/>
                <w:b w:val="0"/>
                <w:i w:val="0"/>
                <w:color w:val="1A1A1A"/>
                <w:sz w:val="20"/>
              </w:rPr>
              <w:t>Owner</w:t>
            </w:r>
          </w:p>
        </w:tc>
        <w:tc>
          <w:tcPr>
            <w:tcW w:type="dxa" w:w="2017"/>
          </w:tcPr>
          <w:p>
            <w:pPr>
              <w:spacing w:after="40" w:before="40"/>
            </w:pPr>
            <w:r/>
            <w:r>
              <w:rPr>
                <w:rFonts w:ascii="Calibri" w:hAnsi="Calibri" w:eastAsia="Calibri"/>
                <w:b w:val="0"/>
                <w:i w:val="0"/>
                <w:color w:val="1A1A1A"/>
                <w:sz w:val="20"/>
              </w:rPr>
              <w:t>URL or zip on the shared drive; sign-in if the site is public</w:t>
            </w:r>
          </w:p>
        </w:tc>
        <w:tc>
          <w:tcPr>
            <w:tcW w:type="dxa" w:w="2017"/>
          </w:tcPr>
          <w:p>
            <w:pPr>
              <w:spacing w:after="40" w:before="40"/>
            </w:pPr>
            <w:r/>
            <w:r>
              <w:rPr>
                <w:rFonts w:ascii="Calibri" w:hAnsi="Calibri" w:eastAsia="Calibri"/>
                <w:b w:val="0"/>
                <w:i w:val="0"/>
                <w:color w:val="1A1A1A"/>
                <w:sz w:val="20"/>
              </w:rPr>
              <w:t>Crimson Horse library; this plan once filed</w:t>
            </w:r>
          </w:p>
        </w:tc>
      </w:tr>
    </w:tbl>
    <w:p/>
    <w:p>
      <w:pPr>
        <w:pStyle w:val="Heading2"/>
      </w:pPr>
      <w:r>
        <w:rPr>
          <w:rFonts w:ascii="Calibri" w:hAnsi="Calibri"/>
          <w:color w:val="7A1F2B"/>
        </w:rPr>
        <w:t>Phase B — Calculator fit for solicitor instructions (before sell, can start in parallel with C)</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w:t>
            </w:r>
          </w:p>
        </w:tc>
        <w:tc>
          <w:tcPr>
            <w:tcW w:type="dxa" w:w="2521"/>
            <w:shd w:fill="7A1F2B" w:val="clear"/>
          </w:tcPr>
          <w:p>
            <w:pPr>
              <w:spacing w:after="40" w:before="40"/>
            </w:pPr>
            <w:r/>
            <w:r>
              <w:rPr>
                <w:rFonts w:ascii="Calibri" w:hAnsi="Calibri" w:eastAsia="Calibri"/>
                <w:b/>
                <w:i w:val="0"/>
                <w:color w:val="FFFFFF"/>
                <w:sz w:val="20"/>
              </w:rPr>
              <w:t>Task</w:t>
            </w:r>
          </w:p>
        </w:tc>
        <w:tc>
          <w:tcPr>
            <w:tcW w:type="dxa" w:w="2521"/>
            <w:shd w:fill="7A1F2B" w:val="clear"/>
          </w:tcPr>
          <w:p>
            <w:pPr>
              <w:spacing w:after="40" w:before="40"/>
            </w:pPr>
            <w:r/>
            <w:r>
              <w:rPr>
                <w:rFonts w:ascii="Calibri" w:hAnsi="Calibri" w:eastAsia="Calibri"/>
                <w:b/>
                <w:i w:val="0"/>
                <w:color w:val="FFFFFF"/>
                <w:sz w:val="20"/>
              </w:rPr>
              <w:t>Who</w:t>
            </w:r>
          </w:p>
        </w:tc>
        <w:tc>
          <w:tcPr>
            <w:tcW w:type="dxa" w:w="2521"/>
            <w:shd w:fill="7A1F2B" w:val="clear"/>
          </w:tcPr>
          <w:p>
            <w:pPr>
              <w:spacing w:after="40" w:before="40"/>
            </w:pPr>
            <w:r/>
            <w:r>
              <w:rPr>
                <w:rFonts w:ascii="Calibri" w:hAnsi="Calibri" w:eastAsia="Calibri"/>
                <w:b/>
                <w:i w:val="0"/>
                <w:color w:val="FFFFFF"/>
                <w:sz w:val="20"/>
              </w:rPr>
              <w:t>Done when</w:t>
            </w:r>
          </w:p>
        </w:tc>
      </w:tr>
      <w:tr>
        <w:tc>
          <w:tcPr>
            <w:tcW w:type="dxa" w:w="2521"/>
          </w:tcPr>
          <w:p>
            <w:pPr>
              <w:spacing w:after="40" w:before="40"/>
            </w:pPr>
            <w:r/>
            <w:r>
              <w:rPr>
                <w:rFonts w:ascii="Calibri" w:hAnsi="Calibri" w:eastAsia="Calibri"/>
                <w:b w:val="0"/>
                <w:i w:val="0"/>
                <w:color w:val="1A1A1A"/>
                <w:sz w:val="20"/>
              </w:rPr>
              <w:t>B1</w:t>
            </w:r>
          </w:p>
        </w:tc>
        <w:tc>
          <w:tcPr>
            <w:tcW w:type="dxa" w:w="2521"/>
          </w:tcPr>
          <w:p>
            <w:pPr>
              <w:spacing w:after="40" w:before="40"/>
            </w:pPr>
            <w:r/>
            <w:r>
              <w:rPr>
                <w:rFonts w:ascii="Calibri" w:hAnsi="Calibri" w:eastAsia="Calibri"/>
                <w:b w:val="0"/>
                <w:i w:val="0"/>
                <w:color w:val="1A1A1A"/>
                <w:sz w:val="20"/>
              </w:rPr>
              <w:t>Add Method panel: B rate, E rate, D mode (none / % of C / actual), C source, calculation date, headline flag.</w:t>
            </w:r>
          </w:p>
        </w:tc>
        <w:tc>
          <w:tcPr>
            <w:tcW w:type="dxa" w:w="2521"/>
          </w:tcPr>
          <w:p>
            <w:pPr>
              <w:spacing w:after="40" w:before="40"/>
            </w:pPr>
            <w:r/>
            <w:r>
              <w:rPr>
                <w:rFonts w:ascii="Calibri" w:hAnsi="Calibri" w:eastAsia="Calibri"/>
                <w:b w:val="0"/>
                <w:i w:val="0"/>
                <w:color w:val="1A1A1A"/>
                <w:sz w:val="20"/>
              </w:rPr>
              <w:t>Builder</w:t>
            </w:r>
          </w:p>
        </w:tc>
        <w:tc>
          <w:tcPr>
            <w:tcW w:type="dxa" w:w="2521"/>
          </w:tcPr>
          <w:p>
            <w:pPr>
              <w:spacing w:after="40" w:before="40"/>
            </w:pPr>
            <w:r/>
            <w:r>
              <w:rPr>
                <w:rFonts w:ascii="Calibri" w:hAnsi="Calibri" w:eastAsia="Calibri"/>
                <w:b w:val="0"/>
                <w:i w:val="0"/>
                <w:color w:val="1A1A1A"/>
                <w:sz w:val="20"/>
              </w:rPr>
              <w:t>Carlin How JDH A £33,269.85 and C £10,639.70 can be typed in and the three lines appear: (i) JDH 4%/2% bare C, (ii) Wood 6%/6% with 40% D, (iii) commission estimate as instructed or blank</w:t>
            </w:r>
          </w:p>
        </w:tc>
      </w:tr>
      <w:tr>
        <w:tc>
          <w:tcPr>
            <w:tcW w:type="dxa" w:w="2521"/>
            <w:shd w:fill="F4EFE6" w:val="clear"/>
          </w:tcPr>
          <w:p>
            <w:pPr>
              <w:spacing w:after="40" w:before="40"/>
            </w:pPr>
            <w:r/>
            <w:r>
              <w:rPr>
                <w:rFonts w:ascii="Calibri" w:hAnsi="Calibri" w:eastAsia="Calibri"/>
                <w:b w:val="0"/>
                <w:i w:val="0"/>
                <w:color w:val="1A1A1A"/>
                <w:sz w:val="20"/>
              </w:rPr>
              <w:t>B2</w:t>
            </w:r>
          </w:p>
        </w:tc>
        <w:tc>
          <w:tcPr>
            <w:tcW w:type="dxa" w:w="2521"/>
            <w:shd w:fill="F4EFE6" w:val="clear"/>
          </w:tcPr>
          <w:p>
            <w:pPr>
              <w:spacing w:after="40" w:before="40"/>
            </w:pPr>
            <w:r/>
            <w:r>
              <w:rPr>
                <w:rFonts w:ascii="Calibri" w:hAnsi="Calibri" w:eastAsia="Calibri"/>
                <w:b w:val="0"/>
                <w:i w:val="0"/>
                <w:color w:val="1A1A1A"/>
                <w:sz w:val="20"/>
              </w:rPr>
              <w:t>Stop fair-rate and commission cells calculating if source tag is empty.</w:t>
            </w:r>
          </w:p>
        </w:tc>
        <w:tc>
          <w:tcPr>
            <w:tcW w:type="dxa" w:w="2521"/>
            <w:shd w:fill="F4EFE6" w:val="clear"/>
          </w:tcPr>
          <w:p>
            <w:pPr>
              <w:spacing w:after="40" w:before="40"/>
            </w:pPr>
            <w:r/>
            <w:r>
              <w:rPr>
                <w:rFonts w:ascii="Calibri" w:hAnsi="Calibri" w:eastAsia="Calibri"/>
                <w:b w:val="0"/>
                <w:i w:val="0"/>
                <w:color w:val="1A1A1A"/>
                <w:sz w:val="20"/>
              </w:rPr>
              <w:t>Builder</w:t>
            </w:r>
          </w:p>
        </w:tc>
        <w:tc>
          <w:tcPr>
            <w:tcW w:type="dxa" w:w="2521"/>
            <w:shd w:fill="F4EFE6" w:val="clear"/>
          </w:tcPr>
          <w:p>
            <w:pPr>
              <w:spacing w:after="40" w:before="40"/>
            </w:pPr>
            <w:r/>
            <w:r>
              <w:rPr>
                <w:rFonts w:ascii="Calibri" w:hAnsi="Calibri" w:eastAsia="Calibri"/>
                <w:b w:val="0"/>
                <w:i w:val="0"/>
                <w:color w:val="1A1A1A"/>
                <w:sz w:val="20"/>
              </w:rPr>
              <w:t>Blank in, blank out — no zero</w:t>
            </w:r>
          </w:p>
        </w:tc>
      </w:tr>
      <w:tr>
        <w:tc>
          <w:tcPr>
            <w:tcW w:type="dxa" w:w="2521"/>
          </w:tcPr>
          <w:p>
            <w:pPr>
              <w:spacing w:after="40" w:before="40"/>
            </w:pPr>
            <w:r/>
            <w:r>
              <w:rPr>
                <w:rFonts w:ascii="Calibri" w:hAnsi="Calibri" w:eastAsia="Calibri"/>
                <w:b w:val="0"/>
                <w:i w:val="0"/>
                <w:color w:val="1A1A1A"/>
                <w:sz w:val="20"/>
              </w:rPr>
              <w:t>B3</w:t>
            </w:r>
          </w:p>
        </w:tc>
        <w:tc>
          <w:tcPr>
            <w:tcW w:type="dxa" w:w="2521"/>
          </w:tcPr>
          <w:p>
            <w:pPr>
              <w:spacing w:after="40" w:before="40"/>
            </w:pPr>
            <w:r/>
            <w:r>
              <w:rPr>
                <w:rFonts w:ascii="Calibri" w:hAnsi="Calibri" w:eastAsia="Calibri"/>
                <w:b w:val="0"/>
                <w:i w:val="0"/>
                <w:color w:val="1A1A1A"/>
                <w:sz w:val="20"/>
              </w:rPr>
              <w:t>Keep imputed-bills flag; only run if instruction says so.</w:t>
            </w:r>
          </w:p>
        </w:tc>
        <w:tc>
          <w:tcPr>
            <w:tcW w:type="dxa" w:w="2521"/>
          </w:tcPr>
          <w:p>
            <w:pPr>
              <w:spacing w:after="40" w:before="40"/>
            </w:pPr>
            <w:r/>
            <w:r>
              <w:rPr>
                <w:rFonts w:ascii="Calibri" w:hAnsi="Calibri" w:eastAsia="Calibri"/>
                <w:b w:val="0"/>
                <w:i w:val="0"/>
                <w:color w:val="1A1A1A"/>
                <w:sz w:val="20"/>
              </w:rPr>
              <w:t>Builder</w:t>
            </w:r>
          </w:p>
        </w:tc>
        <w:tc>
          <w:tcPr>
            <w:tcW w:type="dxa" w:w="2521"/>
          </w:tcPr>
          <w:p>
            <w:pPr>
              <w:spacing w:after="40" w:before="40"/>
            </w:pPr>
            <w:r/>
            <w:r>
              <w:rPr>
                <w:rFonts w:ascii="Calibri" w:hAnsi="Calibri" w:eastAsia="Calibri"/>
                <w:b w:val="0"/>
                <w:i w:val="0"/>
                <w:color w:val="1A1A1A"/>
                <w:sz w:val="20"/>
              </w:rPr>
              <w:t>Matches Missing bills note</w:t>
            </w:r>
          </w:p>
        </w:tc>
      </w:tr>
      <w:tr>
        <w:tc>
          <w:tcPr>
            <w:tcW w:type="dxa" w:w="2521"/>
            <w:shd w:fill="F4EFE6" w:val="clear"/>
          </w:tcPr>
          <w:p>
            <w:pPr>
              <w:spacing w:after="40" w:before="40"/>
            </w:pPr>
            <w:r/>
            <w:r>
              <w:rPr>
                <w:rFonts w:ascii="Calibri" w:hAnsi="Calibri" w:eastAsia="Calibri"/>
                <w:b w:val="0"/>
                <w:i w:val="0"/>
                <w:color w:val="1A1A1A"/>
                <w:sz w:val="20"/>
              </w:rPr>
              <w:t>B4</w:t>
            </w:r>
          </w:p>
        </w:tc>
        <w:tc>
          <w:tcPr>
            <w:tcW w:type="dxa" w:w="2521"/>
            <w:shd w:fill="F4EFE6" w:val="clear"/>
          </w:tcPr>
          <w:p>
            <w:pPr>
              <w:spacing w:after="40" w:before="40"/>
            </w:pPr>
            <w:r/>
            <w:r>
              <w:rPr>
                <w:rFonts w:ascii="Calibri" w:hAnsi="Calibri" w:eastAsia="Calibri"/>
                <w:b w:val="0"/>
                <w:i w:val="0"/>
                <w:color w:val="1A1A1A"/>
                <w:sz w:val="20"/>
              </w:rPr>
              <w:t>Weekly review: agree the Method panel onto the frozen live file. Archive v2.10 as previous live.</w:t>
            </w:r>
          </w:p>
        </w:tc>
        <w:tc>
          <w:tcPr>
            <w:tcW w:type="dxa" w:w="2521"/>
            <w:shd w:fill="F4EFE6" w:val="clear"/>
          </w:tcPr>
          <w:p>
            <w:pPr>
              <w:spacing w:after="40" w:before="40"/>
            </w:pPr>
            <w:r/>
            <w:r>
              <w:rPr>
                <w:rFonts w:ascii="Calibri" w:hAnsi="Calibri" w:eastAsia="Calibri"/>
                <w:b w:val="0"/>
                <w:i w:val="0"/>
                <w:color w:val="1A1A1A"/>
                <w:sz w:val="20"/>
              </w:rPr>
              <w:t>Owner</w:t>
            </w:r>
          </w:p>
        </w:tc>
        <w:tc>
          <w:tcPr>
            <w:tcW w:type="dxa" w:w="2521"/>
            <w:shd w:fill="F4EFE6" w:val="clear"/>
          </w:tcPr>
          <w:p>
            <w:pPr>
              <w:spacing w:after="40" w:before="40"/>
            </w:pPr>
            <w:r/>
            <w:r>
              <w:rPr>
                <w:rFonts w:ascii="Calibri" w:hAnsi="Calibri" w:eastAsia="Calibri"/>
                <w:b w:val="0"/>
                <w:i w:val="0"/>
                <w:color w:val="1A1A1A"/>
                <w:sz w:val="20"/>
              </w:rPr>
              <w:t>Log line dated; desks on one version</w:t>
            </w:r>
          </w:p>
        </w:tc>
      </w:tr>
      <w:tr>
        <w:tc>
          <w:tcPr>
            <w:tcW w:type="dxa" w:w="2521"/>
          </w:tcPr>
          <w:p>
            <w:pPr>
              <w:spacing w:after="40" w:before="40"/>
            </w:pPr>
            <w:r/>
            <w:r>
              <w:rPr>
                <w:rFonts w:ascii="Calibri" w:hAnsi="Calibri" w:eastAsia="Calibri"/>
                <w:b w:val="0"/>
                <w:i w:val="0"/>
                <w:color w:val="1A1A1A"/>
                <w:sz w:val="20"/>
              </w:rPr>
              <w:t>B5</w:t>
            </w:r>
          </w:p>
        </w:tc>
        <w:tc>
          <w:tcPr>
            <w:tcW w:type="dxa" w:w="2521"/>
          </w:tcPr>
          <w:p>
            <w:pPr>
              <w:spacing w:after="40" w:before="40"/>
            </w:pPr>
            <w:r/>
            <w:r>
              <w:rPr>
                <w:rFonts w:ascii="Calibri" w:hAnsi="Calibri" w:eastAsia="Calibri"/>
                <w:b w:val="0"/>
                <w:i w:val="0"/>
                <w:color w:val="1A1A1A"/>
                <w:sz w:val="20"/>
              </w:rPr>
              <w:t>Four-eyes on the Carlin How numbers against the published valuation report.</w:t>
            </w:r>
          </w:p>
        </w:tc>
        <w:tc>
          <w:tcPr>
            <w:tcW w:type="dxa" w:w="2521"/>
          </w:tcPr>
          <w:p>
            <w:pPr>
              <w:spacing w:after="40" w:before="40"/>
            </w:pPr>
            <w:r/>
            <w:r>
              <w:rPr>
                <w:rFonts w:ascii="Calibri" w:hAnsi="Calibri" w:eastAsia="Calibri"/>
                <w:b w:val="0"/>
                <w:i w:val="0"/>
                <w:color w:val="1A1A1A"/>
                <w:sz w:val="20"/>
              </w:rPr>
              <w:t>Reviewer</w:t>
            </w:r>
          </w:p>
        </w:tc>
        <w:tc>
          <w:tcPr>
            <w:tcW w:type="dxa" w:w="2521"/>
          </w:tcPr>
          <w:p>
            <w:pPr>
              <w:spacing w:after="40" w:before="40"/>
            </w:pPr>
            <w:r/>
            <w:r>
              <w:rPr>
                <w:rFonts w:ascii="Calibri" w:hAnsi="Calibri" w:eastAsia="Calibri"/>
                <w:b w:val="0"/>
                <w:i w:val="0"/>
                <w:color w:val="1A1A1A"/>
                <w:sz w:val="20"/>
              </w:rPr>
              <w:t>£24,989.01 (6%, 40%, 6.00 years) and £29,685.72 (JDH) both reproducible, or the difference explained</w:t>
            </w:r>
          </w:p>
        </w:tc>
      </w:tr>
    </w:tbl>
    <w:p/>
    <w:p>
      <w:pPr>
        <w:pStyle w:val="Heading2"/>
      </w:pPr>
      <w:r>
        <w:rPr>
          <w:rFonts w:ascii="Calibri" w:hAnsi="Calibri"/>
          <w:color w:val="7A1F2B"/>
        </w:rPr>
        <w:t>Phase C — one complete live case (this is the critical path)</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w:t>
            </w:r>
          </w:p>
        </w:tc>
        <w:tc>
          <w:tcPr>
            <w:tcW w:type="dxa" w:w="2521"/>
            <w:shd w:fill="7A1F2B" w:val="clear"/>
          </w:tcPr>
          <w:p>
            <w:pPr>
              <w:spacing w:after="40" w:before="40"/>
            </w:pPr>
            <w:r/>
            <w:r>
              <w:rPr>
                <w:rFonts w:ascii="Calibri" w:hAnsi="Calibri" w:eastAsia="Calibri"/>
                <w:b/>
                <w:i w:val="0"/>
                <w:color w:val="FFFFFF"/>
                <w:sz w:val="20"/>
              </w:rPr>
              <w:t>Task</w:t>
            </w:r>
          </w:p>
        </w:tc>
        <w:tc>
          <w:tcPr>
            <w:tcW w:type="dxa" w:w="2521"/>
            <w:shd w:fill="7A1F2B" w:val="clear"/>
          </w:tcPr>
          <w:p>
            <w:pPr>
              <w:spacing w:after="40" w:before="40"/>
            </w:pPr>
            <w:r/>
            <w:r>
              <w:rPr>
                <w:rFonts w:ascii="Calibri" w:hAnsi="Calibri" w:eastAsia="Calibri"/>
                <w:b/>
                <w:i w:val="0"/>
                <w:color w:val="FFFFFF"/>
                <w:sz w:val="20"/>
              </w:rPr>
              <w:t>Who</w:t>
            </w:r>
          </w:p>
        </w:tc>
        <w:tc>
          <w:tcPr>
            <w:tcW w:type="dxa" w:w="2521"/>
            <w:shd w:fill="7A1F2B" w:val="clear"/>
          </w:tcPr>
          <w:p>
            <w:pPr>
              <w:spacing w:after="40" w:before="40"/>
            </w:pPr>
            <w:r/>
            <w:r>
              <w:rPr>
                <w:rFonts w:ascii="Calibri" w:hAnsi="Calibri" w:eastAsia="Calibri"/>
                <w:b/>
                <w:i w:val="0"/>
                <w:color w:val="FFFFFF"/>
                <w:sz w:val="20"/>
              </w:rPr>
              <w:t>Done when</w:t>
            </w:r>
          </w:p>
        </w:tc>
      </w:tr>
      <w:tr>
        <w:tc>
          <w:tcPr>
            <w:tcW w:type="dxa" w:w="2521"/>
          </w:tcPr>
          <w:p>
            <w:pPr>
              <w:spacing w:after="40" w:before="40"/>
            </w:pPr>
            <w:r/>
            <w:r>
              <w:rPr>
                <w:rFonts w:ascii="Calibri" w:hAnsi="Calibri" w:eastAsia="Calibri"/>
                <w:b w:val="0"/>
                <w:i w:val="0"/>
                <w:color w:val="1A1A1A"/>
                <w:sz w:val="20"/>
              </w:rPr>
              <w:t>C1</w:t>
            </w:r>
          </w:p>
        </w:tc>
        <w:tc>
          <w:tcPr>
            <w:tcW w:type="dxa" w:w="2521"/>
          </w:tcPr>
          <w:p>
            <w:pPr>
              <w:spacing w:after="40" w:before="40"/>
            </w:pPr>
            <w:r/>
            <w:r>
              <w:rPr>
                <w:rFonts w:ascii="Calibri" w:hAnsi="Calibri" w:eastAsia="Calibri"/>
                <w:b w:val="0"/>
                <w:i w:val="0"/>
                <w:color w:val="1A1A1A"/>
                <w:sz w:val="20"/>
              </w:rPr>
              <w:t>Put one complete energy case in one folder: contract or welcome, LOA if a broker, consecutive bills. No mortgage. No ._ files.</w:t>
            </w:r>
          </w:p>
        </w:tc>
        <w:tc>
          <w:tcPr>
            <w:tcW w:type="dxa" w:w="2521"/>
          </w:tcPr>
          <w:p>
            <w:pPr>
              <w:spacing w:after="40" w:before="40"/>
            </w:pPr>
            <w:r/>
            <w:r>
              <w:rPr>
                <w:rFonts w:ascii="Calibri" w:hAnsi="Calibri" w:eastAsia="Calibri"/>
                <w:b w:val="0"/>
                <w:i w:val="0"/>
                <w:color w:val="1A1A1A"/>
                <w:sz w:val="20"/>
              </w:rPr>
              <w:t>Owner / lead provider</w:t>
            </w:r>
          </w:p>
        </w:tc>
        <w:tc>
          <w:tcPr>
            <w:tcW w:type="dxa" w:w="2521"/>
          </w:tcPr>
          <w:p>
            <w:pPr>
              <w:spacing w:after="40" w:before="40"/>
            </w:pPr>
            <w:r/>
            <w:r>
              <w:rPr>
                <w:rFonts w:ascii="Calibri" w:hAnsi="Calibri" w:eastAsia="Calibri"/>
                <w:b w:val="0"/>
                <w:i w:val="0"/>
                <w:color w:val="1A1A1A"/>
                <w:sz w:val="20"/>
              </w:rPr>
              <w:t>Intake would list those types; Documents for one case is satisfied</w:t>
            </w:r>
          </w:p>
        </w:tc>
      </w:tr>
      <w:tr>
        <w:tc>
          <w:tcPr>
            <w:tcW w:type="dxa" w:w="2521"/>
            <w:shd w:fill="F4EFE6" w:val="clear"/>
          </w:tcPr>
          <w:p>
            <w:pPr>
              <w:spacing w:after="40" w:before="40"/>
            </w:pPr>
            <w:r/>
            <w:r>
              <w:rPr>
                <w:rFonts w:ascii="Calibri" w:hAnsi="Calibri" w:eastAsia="Calibri"/>
                <w:b w:val="0"/>
                <w:i w:val="0"/>
                <w:color w:val="1A1A1A"/>
                <w:sz w:val="20"/>
              </w:rPr>
              <w:t>C2</w:t>
            </w:r>
          </w:p>
        </w:tc>
        <w:tc>
          <w:tcPr>
            <w:tcW w:type="dxa" w:w="2521"/>
            <w:shd w:fill="F4EFE6" w:val="clear"/>
          </w:tcPr>
          <w:p>
            <w:pPr>
              <w:spacing w:after="40" w:before="40"/>
            </w:pPr>
            <w:r/>
            <w:r>
              <w:rPr>
                <w:rFonts w:ascii="Calibri" w:hAnsi="Calibri" w:eastAsia="Calibri"/>
                <w:b w:val="0"/>
                <w:i w:val="0"/>
                <w:color w:val="1A1A1A"/>
                <w:sz w:val="20"/>
              </w:rPr>
              <w:t>Solicitor instruction on that case (even if “no rates — leave B, E, D blank”).</w:t>
            </w:r>
          </w:p>
        </w:tc>
        <w:tc>
          <w:tcPr>
            <w:tcW w:type="dxa" w:w="2521"/>
            <w:shd w:fill="F4EFE6" w:val="clear"/>
          </w:tcPr>
          <w:p>
            <w:pPr>
              <w:spacing w:after="40" w:before="40"/>
            </w:pPr>
            <w:r/>
            <w:r>
              <w:rPr>
                <w:rFonts w:ascii="Calibri" w:hAnsi="Calibri" w:eastAsia="Calibri"/>
                <w:b w:val="0"/>
                <w:i w:val="0"/>
                <w:color w:val="1A1A1A"/>
                <w:sz w:val="20"/>
              </w:rPr>
              <w:t>Solicitor via Owner</w:t>
            </w:r>
          </w:p>
        </w:tc>
        <w:tc>
          <w:tcPr>
            <w:tcW w:type="dxa" w:w="2521"/>
            <w:shd w:fill="F4EFE6" w:val="clear"/>
          </w:tcPr>
          <w:p>
            <w:pPr>
              <w:spacing w:after="40" w:before="40"/>
            </w:pPr>
            <w:r/>
            <w:r>
              <w:rPr>
                <w:rFonts w:ascii="Calibri" w:hAnsi="Calibri" w:eastAsia="Calibri"/>
                <w:b w:val="0"/>
                <w:i w:val="0"/>
                <w:color w:val="1A1A1A"/>
                <w:sz w:val="20"/>
              </w:rPr>
              <w:t>Note on the folder</w:t>
            </w:r>
          </w:p>
        </w:tc>
      </w:tr>
      <w:tr>
        <w:tc>
          <w:tcPr>
            <w:tcW w:type="dxa" w:w="2521"/>
          </w:tcPr>
          <w:p>
            <w:pPr>
              <w:spacing w:after="40" w:before="40"/>
            </w:pPr>
            <w:r/>
            <w:r>
              <w:rPr>
                <w:rFonts w:ascii="Calibri" w:hAnsi="Calibri" w:eastAsia="Calibri"/>
                <w:b w:val="0"/>
                <w:i w:val="0"/>
                <w:color w:val="1A1A1A"/>
                <w:sz w:val="20"/>
              </w:rPr>
              <w:t>C3</w:t>
            </w:r>
          </w:p>
        </w:tc>
        <w:tc>
          <w:tcPr>
            <w:tcW w:type="dxa" w:w="2521"/>
          </w:tcPr>
          <w:p>
            <w:pPr>
              <w:spacing w:after="40" w:before="40"/>
            </w:pPr>
            <w:r/>
            <w:r>
              <w:rPr>
                <w:rFonts w:ascii="Calibri" w:hAnsi="Calibri" w:eastAsia="Calibri"/>
                <w:b w:val="0"/>
                <w:i w:val="0"/>
                <w:color w:val="1A1A1A"/>
                <w:sz w:val="20"/>
              </w:rPr>
              <w:t>Run Extract. Produce intake report + Data Bridge with blanks listed.</w:t>
            </w:r>
          </w:p>
        </w:tc>
        <w:tc>
          <w:tcPr>
            <w:tcW w:type="dxa" w:w="2521"/>
          </w:tcPr>
          <w:p>
            <w:pPr>
              <w:spacing w:after="40" w:before="40"/>
            </w:pPr>
            <w:r/>
            <w:r>
              <w:rPr>
                <w:rFonts w:ascii="Calibri" w:hAnsi="Calibri" w:eastAsia="Calibri"/>
                <w:b w:val="0"/>
                <w:i w:val="0"/>
                <w:color w:val="1A1A1A"/>
                <w:sz w:val="20"/>
              </w:rPr>
              <w:t>Builder first time; then operator</w:t>
            </w:r>
          </w:p>
        </w:tc>
        <w:tc>
          <w:tcPr>
            <w:tcW w:type="dxa" w:w="2521"/>
          </w:tcPr>
          <w:p>
            <w:pPr>
              <w:spacing w:after="40" w:before="40"/>
            </w:pPr>
            <w:r/>
            <w:r>
              <w:rPr>
                <w:rFonts w:ascii="Calibri" w:hAnsi="Calibri" w:eastAsia="Calibri"/>
                <w:b w:val="0"/>
                <w:i w:val="0"/>
                <w:color w:val="1A1A1A"/>
                <w:sz w:val="20"/>
              </w:rPr>
              <w:t>File count matches; wrong types held out</w:t>
            </w:r>
          </w:p>
        </w:tc>
      </w:tr>
      <w:tr>
        <w:tc>
          <w:tcPr>
            <w:tcW w:type="dxa" w:w="2521"/>
            <w:shd w:fill="F4EFE6" w:val="clear"/>
          </w:tcPr>
          <w:p>
            <w:pPr>
              <w:spacing w:after="40" w:before="40"/>
            </w:pPr>
            <w:r/>
            <w:r>
              <w:rPr>
                <w:rFonts w:ascii="Calibri" w:hAnsi="Calibri" w:eastAsia="Calibri"/>
                <w:b w:val="0"/>
                <w:i w:val="0"/>
                <w:color w:val="1A1A1A"/>
                <w:sz w:val="20"/>
              </w:rPr>
              <w:t>C4</w:t>
            </w:r>
          </w:p>
        </w:tc>
        <w:tc>
          <w:tcPr>
            <w:tcW w:type="dxa" w:w="2521"/>
            <w:shd w:fill="F4EFE6" w:val="clear"/>
          </w:tcPr>
          <w:p>
            <w:pPr>
              <w:spacing w:after="40" w:before="40"/>
            </w:pPr>
            <w:r/>
            <w:r>
              <w:rPr>
                <w:rFonts w:ascii="Calibri" w:hAnsi="Calibri" w:eastAsia="Calibri"/>
                <w:b w:val="0"/>
                <w:i w:val="0"/>
                <w:color w:val="1A1A1A"/>
                <w:sz w:val="20"/>
              </w:rPr>
              <w:t>Human complete only evidenced or instructed cells.</w:t>
            </w:r>
          </w:p>
        </w:tc>
        <w:tc>
          <w:tcPr>
            <w:tcW w:type="dxa" w:w="2521"/>
            <w:shd w:fill="F4EFE6" w:val="clear"/>
          </w:tcPr>
          <w:p>
            <w:pPr>
              <w:spacing w:after="40" w:before="40"/>
            </w:pPr>
            <w:r/>
            <w:r>
              <w:rPr>
                <w:rFonts w:ascii="Calibri" w:hAnsi="Calibri" w:eastAsia="Calibri"/>
                <w:b w:val="0"/>
                <w:i w:val="0"/>
                <w:color w:val="1A1A1A"/>
                <w:sz w:val="20"/>
              </w:rPr>
              <w:t>Operator</w:t>
            </w:r>
          </w:p>
        </w:tc>
        <w:tc>
          <w:tcPr>
            <w:tcW w:type="dxa" w:w="2521"/>
            <w:shd w:fill="F4EFE6" w:val="clear"/>
          </w:tcPr>
          <w:p>
            <w:pPr>
              <w:spacing w:after="40" w:before="40"/>
            </w:pPr>
            <w:r/>
            <w:r>
              <w:rPr>
                <w:rFonts w:ascii="Calibri" w:hAnsi="Calibri" w:eastAsia="Calibri"/>
                <w:b w:val="0"/>
                <w:i w:val="0"/>
                <w:color w:val="1A1A1A"/>
                <w:sz w:val="20"/>
              </w:rPr>
              <w:t>Every remaining blank has an action, not a guess</w:t>
            </w:r>
          </w:p>
        </w:tc>
      </w:tr>
      <w:tr>
        <w:tc>
          <w:tcPr>
            <w:tcW w:type="dxa" w:w="2521"/>
          </w:tcPr>
          <w:p>
            <w:pPr>
              <w:spacing w:after="40" w:before="40"/>
            </w:pPr>
            <w:r/>
            <w:r>
              <w:rPr>
                <w:rFonts w:ascii="Calibri" w:hAnsi="Calibri" w:eastAsia="Calibri"/>
                <w:b w:val="0"/>
                <w:i w:val="0"/>
                <w:color w:val="1A1A1A"/>
                <w:sz w:val="20"/>
              </w:rPr>
              <w:t>C5</w:t>
            </w:r>
          </w:p>
        </w:tc>
        <w:tc>
          <w:tcPr>
            <w:tcW w:type="dxa" w:w="2521"/>
          </w:tcPr>
          <w:p>
            <w:pPr>
              <w:spacing w:after="40" w:before="40"/>
            </w:pPr>
            <w:r/>
            <w:r>
              <w:rPr>
                <w:rFonts w:ascii="Calibri" w:hAnsi="Calibri" w:eastAsia="Calibri"/>
                <w:b w:val="0"/>
                <w:i w:val="0"/>
                <w:color w:val="1A1A1A"/>
                <w:sz w:val="20"/>
              </w:rPr>
              <w:t>Load Bridge into Calculator (manual until auto-fill is tested).</w:t>
            </w:r>
          </w:p>
        </w:tc>
        <w:tc>
          <w:tcPr>
            <w:tcW w:type="dxa" w:w="2521"/>
          </w:tcPr>
          <w:p>
            <w:pPr>
              <w:spacing w:after="40" w:before="40"/>
            </w:pPr>
            <w:r/>
            <w:r>
              <w:rPr>
                <w:rFonts w:ascii="Calibri" w:hAnsi="Calibri" w:eastAsia="Calibri"/>
                <w:b w:val="0"/>
                <w:i w:val="0"/>
                <w:color w:val="1A1A1A"/>
                <w:sz w:val="20"/>
              </w:rPr>
              <w:t>Operator</w:t>
            </w:r>
          </w:p>
        </w:tc>
        <w:tc>
          <w:tcPr>
            <w:tcW w:type="dxa" w:w="2521"/>
          </w:tcPr>
          <w:p>
            <w:pPr>
              <w:spacing w:after="40" w:before="40"/>
            </w:pPr>
            <w:r/>
            <w:r>
              <w:rPr>
                <w:rFonts w:ascii="Calibri" w:hAnsi="Calibri" w:eastAsia="Calibri"/>
                <w:b w:val="0"/>
                <w:i w:val="0"/>
                <w:color w:val="1A1A1A"/>
                <w:sz w:val="20"/>
              </w:rPr>
              <w:t>Three cells spotted to the bills</w:t>
            </w:r>
          </w:p>
        </w:tc>
      </w:tr>
      <w:tr>
        <w:tc>
          <w:tcPr>
            <w:tcW w:type="dxa" w:w="2521"/>
            <w:shd w:fill="F4EFE6" w:val="clear"/>
          </w:tcPr>
          <w:p>
            <w:pPr>
              <w:spacing w:after="40" w:before="40"/>
            </w:pPr>
            <w:r/>
            <w:r>
              <w:rPr>
                <w:rFonts w:ascii="Calibri" w:hAnsi="Calibri" w:eastAsia="Calibri"/>
                <w:b w:val="0"/>
                <w:i w:val="0"/>
                <w:color w:val="1A1A1A"/>
                <w:sz w:val="20"/>
              </w:rPr>
              <w:t>C6</w:t>
            </w:r>
          </w:p>
        </w:tc>
        <w:tc>
          <w:tcPr>
            <w:tcW w:type="dxa" w:w="2521"/>
            <w:shd w:fill="F4EFE6" w:val="clear"/>
          </w:tcPr>
          <w:p>
            <w:pPr>
              <w:spacing w:after="40" w:before="40"/>
            </w:pPr>
            <w:r/>
            <w:r>
              <w:rPr>
                <w:rFonts w:ascii="Calibri" w:hAnsi="Calibri" w:eastAsia="Calibri"/>
                <w:b w:val="0"/>
                <w:i w:val="0"/>
                <w:color w:val="1A1A1A"/>
                <w:sz w:val="20"/>
              </w:rPr>
              <w:t>Draft valuation in the Carlin How hybrid structure: facts, methods, named assumptions, document schedule, blanks.</w:t>
            </w:r>
          </w:p>
        </w:tc>
        <w:tc>
          <w:tcPr>
            <w:tcW w:type="dxa" w:w="2521"/>
            <w:shd w:fill="F4EFE6" w:val="clear"/>
          </w:tcPr>
          <w:p>
            <w:pPr>
              <w:spacing w:after="40" w:before="40"/>
            </w:pPr>
            <w:r/>
            <w:r>
              <w:rPr>
                <w:rFonts w:ascii="Calibri" w:hAnsi="Calibri" w:eastAsia="Calibri"/>
                <w:b w:val="0"/>
                <w:i w:val="0"/>
                <w:color w:val="1A1A1A"/>
                <w:sz w:val="20"/>
              </w:rPr>
              <w:t>Builder first time; template thereafter</w:t>
            </w:r>
          </w:p>
        </w:tc>
        <w:tc>
          <w:tcPr>
            <w:tcW w:type="dxa" w:w="2521"/>
            <w:shd w:fill="F4EFE6" w:val="clear"/>
          </w:tcPr>
          <w:p>
            <w:pPr>
              <w:spacing w:after="40" w:before="40"/>
            </w:pPr>
            <w:r/>
            <w:r>
              <w:rPr>
                <w:rFonts w:ascii="Calibri" w:hAnsi="Calibri" w:eastAsia="Calibri"/>
                <w:b w:val="0"/>
                <w:i w:val="0"/>
                <w:color w:val="1A1A1A"/>
                <w:sz w:val="20"/>
              </w:rPr>
              <w:t>No invented figures; no prospects %</w:t>
            </w:r>
          </w:p>
        </w:tc>
      </w:tr>
      <w:tr>
        <w:tc>
          <w:tcPr>
            <w:tcW w:type="dxa" w:w="2521"/>
          </w:tcPr>
          <w:p>
            <w:pPr>
              <w:spacing w:after="40" w:before="40"/>
            </w:pPr>
            <w:r/>
            <w:r>
              <w:rPr>
                <w:rFonts w:ascii="Calibri" w:hAnsi="Calibri" w:eastAsia="Calibri"/>
                <w:b w:val="0"/>
                <w:i w:val="0"/>
                <w:color w:val="1A1A1A"/>
                <w:sz w:val="20"/>
              </w:rPr>
              <w:t>C7</w:t>
            </w:r>
          </w:p>
        </w:tc>
        <w:tc>
          <w:tcPr>
            <w:tcW w:type="dxa" w:w="2521"/>
          </w:tcPr>
          <w:p>
            <w:pPr>
              <w:spacing w:after="40" w:before="40"/>
            </w:pPr>
            <w:r/>
            <w:r>
              <w:rPr>
                <w:rFonts w:ascii="Calibri" w:hAnsi="Calibri" w:eastAsia="Calibri"/>
                <w:b w:val="0"/>
                <w:i w:val="0"/>
                <w:color w:val="1A1A1A"/>
                <w:sz w:val="20"/>
              </w:rPr>
              <w:t>Four-eyes tick sheet. Draft to solicitor only.</w:t>
            </w:r>
          </w:p>
        </w:tc>
        <w:tc>
          <w:tcPr>
            <w:tcW w:type="dxa" w:w="2521"/>
          </w:tcPr>
          <w:p>
            <w:pPr>
              <w:spacing w:after="40" w:before="40"/>
            </w:pPr>
            <w:r/>
            <w:r>
              <w:rPr>
                <w:rFonts w:ascii="Calibri" w:hAnsi="Calibri" w:eastAsia="Calibri"/>
                <w:b w:val="0"/>
                <w:i w:val="0"/>
                <w:color w:val="1A1A1A"/>
                <w:sz w:val="20"/>
              </w:rPr>
              <w:t>Reviewer</w:t>
            </w:r>
          </w:p>
        </w:tc>
        <w:tc>
          <w:tcPr>
            <w:tcW w:type="dxa" w:w="2521"/>
          </w:tcPr>
          <w:p>
            <w:pPr>
              <w:spacing w:after="40" w:before="40"/>
            </w:pPr>
            <w:r/>
            <w:r>
              <w:rPr>
                <w:rFonts w:ascii="Calibri" w:hAnsi="Calibri" w:eastAsia="Calibri"/>
                <w:b w:val="0"/>
                <w:i w:val="0"/>
                <w:color w:val="1A1A1A"/>
                <w:sz w:val="20"/>
              </w:rPr>
              <w:t>Sheet signed or draft stays</w:t>
            </w:r>
          </w:p>
        </w:tc>
      </w:tr>
    </w:tbl>
    <w:p/>
    <w:p>
      <w:pPr>
        <w:spacing w:after="160"/>
      </w:pPr>
      <w:r>
        <w:rPr>
          <w:rFonts w:ascii="Calibri" w:hAnsi="Calibri" w:eastAsia="Calibri"/>
          <w:b w:val="0"/>
          <w:i w:val="0"/>
          <w:color w:val="1A1A1A"/>
          <w:sz w:val="22"/>
        </w:rPr>
        <w:t>Usable is true when C7 is done once. Do not start a batch of twenty before C7.</w:t>
      </w:r>
    </w:p>
    <w:p>
      <w:pPr>
        <w:pStyle w:val="Heading2"/>
      </w:pPr>
      <w:r>
        <w:rPr>
          <w:rFonts w:ascii="Calibri" w:hAnsi="Calibri"/>
          <w:color w:val="7A1F2B"/>
        </w:rPr>
        <w:t>Phase D — the Agent finishes a case without the builder in the room</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w:t>
            </w:r>
          </w:p>
        </w:tc>
        <w:tc>
          <w:tcPr>
            <w:tcW w:type="dxa" w:w="2521"/>
            <w:shd w:fill="7A1F2B" w:val="clear"/>
          </w:tcPr>
          <w:p>
            <w:pPr>
              <w:spacing w:after="40" w:before="40"/>
            </w:pPr>
            <w:r/>
            <w:r>
              <w:rPr>
                <w:rFonts w:ascii="Calibri" w:hAnsi="Calibri" w:eastAsia="Calibri"/>
                <w:b/>
                <w:i w:val="0"/>
                <w:color w:val="FFFFFF"/>
                <w:sz w:val="20"/>
              </w:rPr>
              <w:t>Task</w:t>
            </w:r>
          </w:p>
        </w:tc>
        <w:tc>
          <w:tcPr>
            <w:tcW w:type="dxa" w:w="2521"/>
            <w:shd w:fill="7A1F2B" w:val="clear"/>
          </w:tcPr>
          <w:p>
            <w:pPr>
              <w:spacing w:after="40" w:before="40"/>
            </w:pPr>
            <w:r/>
            <w:r>
              <w:rPr>
                <w:rFonts w:ascii="Calibri" w:hAnsi="Calibri" w:eastAsia="Calibri"/>
                <w:b/>
                <w:i w:val="0"/>
                <w:color w:val="FFFFFF"/>
                <w:sz w:val="20"/>
              </w:rPr>
              <w:t>Who</w:t>
            </w:r>
          </w:p>
        </w:tc>
        <w:tc>
          <w:tcPr>
            <w:tcW w:type="dxa" w:w="2521"/>
            <w:shd w:fill="7A1F2B" w:val="clear"/>
          </w:tcPr>
          <w:p>
            <w:pPr>
              <w:spacing w:after="40" w:before="40"/>
            </w:pPr>
            <w:r/>
            <w:r>
              <w:rPr>
                <w:rFonts w:ascii="Calibri" w:hAnsi="Calibri" w:eastAsia="Calibri"/>
                <w:b/>
                <w:i w:val="0"/>
                <w:color w:val="FFFFFF"/>
                <w:sz w:val="20"/>
              </w:rPr>
              <w:t>Done when</w:t>
            </w:r>
          </w:p>
        </w:tc>
      </w:tr>
      <w:tr>
        <w:tc>
          <w:tcPr>
            <w:tcW w:type="dxa" w:w="2521"/>
          </w:tcPr>
          <w:p>
            <w:pPr>
              <w:spacing w:after="40" w:before="40"/>
            </w:pPr>
            <w:r/>
            <w:r>
              <w:rPr>
                <w:rFonts w:ascii="Calibri" w:hAnsi="Calibri" w:eastAsia="Calibri"/>
                <w:b w:val="0"/>
                <w:i w:val="0"/>
                <w:color w:val="1A1A1A"/>
                <w:sz w:val="20"/>
              </w:rPr>
              <w:t>D1</w:t>
            </w:r>
          </w:p>
        </w:tc>
        <w:tc>
          <w:tcPr>
            <w:tcW w:type="dxa" w:w="2521"/>
          </w:tcPr>
          <w:p>
            <w:pPr>
              <w:spacing w:after="40" w:before="40"/>
            </w:pPr>
            <w:r/>
            <w:r>
              <w:rPr>
                <w:rFonts w:ascii="Calibri" w:hAnsi="Calibri" w:eastAsia="Calibri"/>
                <w:b w:val="0"/>
                <w:i w:val="0"/>
                <w:color w:val="1A1A1A"/>
                <w:sz w:val="20"/>
              </w:rPr>
              <w:t>Auto-write Bridge → Calculator values without stripping macros.</w:t>
            </w:r>
          </w:p>
        </w:tc>
        <w:tc>
          <w:tcPr>
            <w:tcW w:type="dxa" w:w="2521"/>
          </w:tcPr>
          <w:p>
            <w:pPr>
              <w:spacing w:after="40" w:before="40"/>
            </w:pPr>
            <w:r/>
            <w:r>
              <w:rPr>
                <w:rFonts w:ascii="Calibri" w:hAnsi="Calibri" w:eastAsia="Calibri"/>
                <w:b w:val="0"/>
                <w:i w:val="0"/>
                <w:color w:val="1A1A1A"/>
                <w:sz w:val="20"/>
              </w:rPr>
              <w:t>Builder</w:t>
            </w:r>
          </w:p>
        </w:tc>
        <w:tc>
          <w:tcPr>
            <w:tcW w:type="dxa" w:w="2521"/>
          </w:tcPr>
          <w:p>
            <w:pPr>
              <w:spacing w:after="40" w:before="40"/>
            </w:pPr>
            <w:r/>
            <w:r>
              <w:rPr>
                <w:rFonts w:ascii="Calibri" w:hAnsi="Calibri" w:eastAsia="Calibri"/>
                <w:b w:val="0"/>
                <w:i w:val="0"/>
                <w:color w:val="1A1A1A"/>
                <w:sz w:val="20"/>
              </w:rPr>
              <w:t>Second complete case matches the manual fill</w:t>
            </w:r>
          </w:p>
        </w:tc>
      </w:tr>
      <w:tr>
        <w:tc>
          <w:tcPr>
            <w:tcW w:type="dxa" w:w="2521"/>
            <w:shd w:fill="F4EFE6" w:val="clear"/>
          </w:tcPr>
          <w:p>
            <w:pPr>
              <w:spacing w:after="40" w:before="40"/>
            </w:pPr>
            <w:r/>
            <w:r>
              <w:rPr>
                <w:rFonts w:ascii="Calibri" w:hAnsi="Calibri" w:eastAsia="Calibri"/>
                <w:b w:val="0"/>
                <w:i w:val="0"/>
                <w:color w:val="1A1A1A"/>
                <w:sz w:val="20"/>
              </w:rPr>
              <w:t>D2</w:t>
            </w:r>
          </w:p>
        </w:tc>
        <w:tc>
          <w:tcPr>
            <w:tcW w:type="dxa" w:w="2521"/>
            <w:shd w:fill="F4EFE6" w:val="clear"/>
          </w:tcPr>
          <w:p>
            <w:pPr>
              <w:spacing w:after="40" w:before="40"/>
            </w:pPr>
            <w:r/>
            <w:r>
              <w:rPr>
                <w:rFonts w:ascii="Calibri" w:hAnsi="Calibri" w:eastAsia="Calibri"/>
                <w:b w:val="0"/>
                <w:i w:val="0"/>
                <w:color w:val="1A1A1A"/>
                <w:sz w:val="20"/>
              </w:rPr>
              <w:t>Auto-write the Word valuation from the Bridge + instruction (Carlin How structure).</w:t>
            </w:r>
          </w:p>
        </w:tc>
        <w:tc>
          <w:tcPr>
            <w:tcW w:type="dxa" w:w="2521"/>
            <w:shd w:fill="F4EFE6" w:val="clear"/>
          </w:tcPr>
          <w:p>
            <w:pPr>
              <w:spacing w:after="40" w:before="40"/>
            </w:pPr>
            <w:r/>
            <w:r>
              <w:rPr>
                <w:rFonts w:ascii="Calibri" w:hAnsi="Calibri" w:eastAsia="Calibri"/>
                <w:b w:val="0"/>
                <w:i w:val="0"/>
                <w:color w:val="1A1A1A"/>
                <w:sz w:val="20"/>
              </w:rPr>
              <w:t>Builder</w:t>
            </w:r>
          </w:p>
        </w:tc>
        <w:tc>
          <w:tcPr>
            <w:tcW w:type="dxa" w:w="2521"/>
            <w:shd w:fill="F4EFE6" w:val="clear"/>
          </w:tcPr>
          <w:p>
            <w:pPr>
              <w:spacing w:after="40" w:before="40"/>
            </w:pPr>
            <w:r/>
            <w:r>
              <w:rPr>
                <w:rFonts w:ascii="Calibri" w:hAnsi="Calibri" w:eastAsia="Calibri"/>
                <w:b w:val="0"/>
                <w:i w:val="0"/>
                <w:color w:val="1A1A1A"/>
                <w:sz w:val="20"/>
              </w:rPr>
              <w:t>Third case: operator runs folder in, draft out, reviewer only checks</w:t>
            </w:r>
          </w:p>
        </w:tc>
      </w:tr>
      <w:tr>
        <w:tc>
          <w:tcPr>
            <w:tcW w:type="dxa" w:w="2521"/>
          </w:tcPr>
          <w:p>
            <w:pPr>
              <w:spacing w:after="40" w:before="40"/>
            </w:pPr>
            <w:r/>
            <w:r>
              <w:rPr>
                <w:rFonts w:ascii="Calibri" w:hAnsi="Calibri" w:eastAsia="Calibri"/>
                <w:b w:val="0"/>
                <w:i w:val="0"/>
                <w:color w:val="1A1A1A"/>
                <w:sz w:val="20"/>
              </w:rPr>
              <w:t>D3</w:t>
            </w:r>
          </w:p>
        </w:tc>
        <w:tc>
          <w:tcPr>
            <w:tcW w:type="dxa" w:w="2521"/>
          </w:tcPr>
          <w:p>
            <w:pPr>
              <w:spacing w:after="40" w:before="40"/>
            </w:pPr>
            <w:r/>
            <w:r>
              <w:rPr>
                <w:rFonts w:ascii="Calibri" w:hAnsi="Calibri" w:eastAsia="Calibri"/>
                <w:b w:val="0"/>
                <w:i w:val="0"/>
                <w:color w:val="1A1A1A"/>
                <w:sz w:val="20"/>
              </w:rPr>
              <w:t>Add the supplier layouts those cases actually contain (Pozitive, Engie, BG, etc. as they appear).</w:t>
            </w:r>
          </w:p>
        </w:tc>
        <w:tc>
          <w:tcPr>
            <w:tcW w:type="dxa" w:w="2521"/>
          </w:tcPr>
          <w:p>
            <w:pPr>
              <w:spacing w:after="40" w:before="40"/>
            </w:pPr>
            <w:r/>
            <w:r>
              <w:rPr>
                <w:rFonts w:ascii="Calibri" w:hAnsi="Calibri" w:eastAsia="Calibri"/>
                <w:b w:val="0"/>
                <w:i w:val="0"/>
                <w:color w:val="1A1A1A"/>
                <w:sz w:val="20"/>
              </w:rPr>
              <w:t>Builder</w:t>
            </w:r>
          </w:p>
        </w:tc>
        <w:tc>
          <w:tcPr>
            <w:tcW w:type="dxa" w:w="2521"/>
          </w:tcPr>
          <w:p>
            <w:pPr>
              <w:spacing w:after="40" w:before="40"/>
            </w:pPr>
            <w:r/>
            <w:r>
              <w:rPr>
                <w:rFonts w:ascii="Calibri" w:hAnsi="Calibri" w:eastAsia="Calibri"/>
                <w:b w:val="0"/>
                <w:i w:val="0"/>
                <w:color w:val="1A1A1A"/>
                <w:sz w:val="20"/>
              </w:rPr>
              <w:t>Each new layout is a weekly-review item, then frozen</w:t>
            </w:r>
          </w:p>
        </w:tc>
      </w:tr>
      <w:tr>
        <w:tc>
          <w:tcPr>
            <w:tcW w:type="dxa" w:w="2521"/>
            <w:shd w:fill="F4EFE6" w:val="clear"/>
          </w:tcPr>
          <w:p>
            <w:pPr>
              <w:spacing w:after="40" w:before="40"/>
            </w:pPr>
            <w:r/>
            <w:r>
              <w:rPr>
                <w:rFonts w:ascii="Calibri" w:hAnsi="Calibri" w:eastAsia="Calibri"/>
                <w:b w:val="0"/>
                <w:i w:val="0"/>
                <w:color w:val="1A1A1A"/>
                <w:sz w:val="20"/>
              </w:rPr>
              <w:t>D4</w:t>
            </w:r>
          </w:p>
        </w:tc>
        <w:tc>
          <w:tcPr>
            <w:tcW w:type="dxa" w:w="2521"/>
            <w:shd w:fill="F4EFE6" w:val="clear"/>
          </w:tcPr>
          <w:p>
            <w:pPr>
              <w:spacing w:after="40" w:before="40"/>
            </w:pPr>
            <w:r/>
            <w:r>
              <w:rPr>
                <w:rFonts w:ascii="Calibri" w:hAnsi="Calibri" w:eastAsia="Calibri"/>
                <w:b w:val="0"/>
                <w:i w:val="0"/>
                <w:color w:val="1A1A1A"/>
                <w:sz w:val="20"/>
              </w:rPr>
              <w:t>.msg body parse if those cases need emails.</w:t>
            </w:r>
          </w:p>
        </w:tc>
        <w:tc>
          <w:tcPr>
            <w:tcW w:type="dxa" w:w="2521"/>
            <w:shd w:fill="F4EFE6" w:val="clear"/>
          </w:tcPr>
          <w:p>
            <w:pPr>
              <w:spacing w:after="40" w:before="40"/>
            </w:pPr>
            <w:r/>
            <w:r>
              <w:rPr>
                <w:rFonts w:ascii="Calibri" w:hAnsi="Calibri" w:eastAsia="Calibri"/>
                <w:b w:val="0"/>
                <w:i w:val="0"/>
                <w:color w:val="1A1A1A"/>
                <w:sz w:val="20"/>
              </w:rPr>
              <w:t>Builder</w:t>
            </w:r>
          </w:p>
        </w:tc>
        <w:tc>
          <w:tcPr>
            <w:tcW w:type="dxa" w:w="2521"/>
            <w:shd w:fill="F4EFE6" w:val="clear"/>
          </w:tcPr>
          <w:p>
            <w:pPr>
              <w:spacing w:after="40" w:before="40"/>
            </w:pPr>
            <w:r/>
            <w:r>
              <w:rPr>
                <w:rFonts w:ascii="Calibri" w:hAnsi="Calibri" w:eastAsia="Calibri"/>
                <w:b w:val="0"/>
                <w:i w:val="0"/>
                <w:color w:val="1A1A1A"/>
                <w:sz w:val="20"/>
              </w:rPr>
              <w:t>Only if the folder contains .msg that hold rates or LOA facts</w:t>
            </w:r>
          </w:p>
        </w:tc>
      </w:tr>
      <w:tr>
        <w:tc>
          <w:tcPr>
            <w:tcW w:type="dxa" w:w="2521"/>
          </w:tcPr>
          <w:p>
            <w:pPr>
              <w:spacing w:after="40" w:before="40"/>
            </w:pPr>
            <w:r/>
            <w:r>
              <w:rPr>
                <w:rFonts w:ascii="Calibri" w:hAnsi="Calibri" w:eastAsia="Calibri"/>
                <w:b w:val="0"/>
                <w:i w:val="0"/>
                <w:color w:val="1A1A1A"/>
                <w:sz w:val="20"/>
              </w:rPr>
              <w:t>D5</w:t>
            </w:r>
          </w:p>
        </w:tc>
        <w:tc>
          <w:tcPr>
            <w:tcW w:type="dxa" w:w="2521"/>
          </w:tcPr>
          <w:p>
            <w:pPr>
              <w:spacing w:after="40" w:before="40"/>
            </w:pPr>
            <w:r/>
            <w:r>
              <w:rPr>
                <w:rFonts w:ascii="Calibri" w:hAnsi="Calibri" w:eastAsia="Calibri"/>
                <w:b w:val="0"/>
                <w:i w:val="0"/>
                <w:color w:val="1A1A1A"/>
                <w:sz w:val="20"/>
              </w:rPr>
              <w:t>One-case remains the default. Batch of 20 is a later switch, after D2, with the same fail-safes.</w:t>
            </w:r>
          </w:p>
        </w:tc>
        <w:tc>
          <w:tcPr>
            <w:tcW w:type="dxa" w:w="2521"/>
          </w:tcPr>
          <w:p>
            <w:pPr>
              <w:spacing w:after="40" w:before="40"/>
            </w:pPr>
            <w:r/>
            <w:r>
              <w:rPr>
                <w:rFonts w:ascii="Calibri" w:hAnsi="Calibri" w:eastAsia="Calibri"/>
                <w:b w:val="0"/>
                <w:i w:val="0"/>
                <w:color w:val="1A1A1A"/>
                <w:sz w:val="20"/>
              </w:rPr>
              <w:t>Owner + Builder</w:t>
            </w:r>
          </w:p>
        </w:tc>
        <w:tc>
          <w:tcPr>
            <w:tcW w:type="dxa" w:w="2521"/>
          </w:tcPr>
          <w:p>
            <w:pPr>
              <w:spacing w:after="40" w:before="40"/>
            </w:pPr>
            <w:r/>
            <w:r>
              <w:rPr>
                <w:rFonts w:ascii="Calibri" w:hAnsi="Calibri" w:eastAsia="Calibri"/>
                <w:b w:val="0"/>
                <w:i w:val="0"/>
                <w:color w:val="1A1A1A"/>
                <w:sz w:val="20"/>
              </w:rPr>
              <w:t>Not in v1 unless C7 has been clean on three cases</w:t>
            </w:r>
          </w:p>
        </w:tc>
      </w:tr>
    </w:tbl>
    <w:p/>
    <w:p>
      <w:pPr>
        <w:pStyle w:val="Heading2"/>
      </w:pPr>
      <w:r>
        <w:rPr>
          <w:rFonts w:ascii="Calibri" w:hAnsi="Calibri"/>
          <w:color w:val="7A1F2B"/>
        </w:rPr>
        <w:t>Phase E — sellable</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w:t>
            </w:r>
          </w:p>
        </w:tc>
        <w:tc>
          <w:tcPr>
            <w:tcW w:type="dxa" w:w="2521"/>
            <w:shd w:fill="7A1F2B" w:val="clear"/>
          </w:tcPr>
          <w:p>
            <w:pPr>
              <w:spacing w:after="40" w:before="40"/>
            </w:pPr>
            <w:r/>
            <w:r>
              <w:rPr>
                <w:rFonts w:ascii="Calibri" w:hAnsi="Calibri" w:eastAsia="Calibri"/>
                <w:b/>
                <w:i w:val="0"/>
                <w:color w:val="FFFFFF"/>
                <w:sz w:val="20"/>
              </w:rPr>
              <w:t>Task</w:t>
            </w:r>
          </w:p>
        </w:tc>
        <w:tc>
          <w:tcPr>
            <w:tcW w:type="dxa" w:w="2521"/>
            <w:shd w:fill="7A1F2B" w:val="clear"/>
          </w:tcPr>
          <w:p>
            <w:pPr>
              <w:spacing w:after="40" w:before="40"/>
            </w:pPr>
            <w:r/>
            <w:r>
              <w:rPr>
                <w:rFonts w:ascii="Calibri" w:hAnsi="Calibri" w:eastAsia="Calibri"/>
                <w:b/>
                <w:i w:val="0"/>
                <w:color w:val="FFFFFF"/>
                <w:sz w:val="20"/>
              </w:rPr>
              <w:t>Who</w:t>
            </w:r>
          </w:p>
        </w:tc>
        <w:tc>
          <w:tcPr>
            <w:tcW w:type="dxa" w:w="2521"/>
            <w:shd w:fill="7A1F2B" w:val="clear"/>
          </w:tcPr>
          <w:p>
            <w:pPr>
              <w:spacing w:after="40" w:before="40"/>
            </w:pPr>
            <w:r/>
            <w:r>
              <w:rPr>
                <w:rFonts w:ascii="Calibri" w:hAnsi="Calibri" w:eastAsia="Calibri"/>
                <w:b/>
                <w:i w:val="0"/>
                <w:color w:val="FFFFFF"/>
                <w:sz w:val="20"/>
              </w:rPr>
              <w:t>Done when</w:t>
            </w:r>
          </w:p>
        </w:tc>
      </w:tr>
      <w:tr>
        <w:tc>
          <w:tcPr>
            <w:tcW w:type="dxa" w:w="2521"/>
          </w:tcPr>
          <w:p>
            <w:pPr>
              <w:spacing w:after="40" w:before="40"/>
            </w:pPr>
            <w:r/>
            <w:r>
              <w:rPr>
                <w:rFonts w:ascii="Calibri" w:hAnsi="Calibri" w:eastAsia="Calibri"/>
                <w:b w:val="0"/>
                <w:i w:val="0"/>
                <w:color w:val="1A1A1A"/>
                <w:sz w:val="20"/>
              </w:rPr>
              <w:t>E1</w:t>
            </w:r>
          </w:p>
        </w:tc>
        <w:tc>
          <w:tcPr>
            <w:tcW w:type="dxa" w:w="2521"/>
          </w:tcPr>
          <w:p>
            <w:pPr>
              <w:spacing w:after="40" w:before="40"/>
            </w:pPr>
            <w:r/>
            <w:r>
              <w:rPr>
                <w:rFonts w:ascii="Calibri" w:hAnsi="Calibri" w:eastAsia="Calibri"/>
                <w:b w:val="0"/>
                <w:i w:val="0"/>
                <w:color w:val="1A1A1A"/>
                <w:sz w:val="20"/>
              </w:rPr>
              <w:t>Installer: Calculator, templates, Extract, brand file, instruction file, this plan, four-eyes, weekly log.</w:t>
            </w:r>
          </w:p>
        </w:tc>
        <w:tc>
          <w:tcPr>
            <w:tcW w:type="dxa" w:w="2521"/>
          </w:tcPr>
          <w:p>
            <w:pPr>
              <w:spacing w:after="40" w:before="40"/>
            </w:pPr>
            <w:r/>
            <w:r>
              <w:rPr>
                <w:rFonts w:ascii="Calibri" w:hAnsi="Calibri" w:eastAsia="Calibri"/>
                <w:b w:val="0"/>
                <w:i w:val="0"/>
                <w:color w:val="1A1A1A"/>
                <w:sz w:val="20"/>
              </w:rPr>
              <w:t>Builder</w:t>
            </w:r>
          </w:p>
        </w:tc>
        <w:tc>
          <w:tcPr>
            <w:tcW w:type="dxa" w:w="2521"/>
          </w:tcPr>
          <w:p>
            <w:pPr>
              <w:spacing w:after="40" w:before="40"/>
            </w:pPr>
            <w:r/>
            <w:r>
              <w:rPr>
                <w:rFonts w:ascii="Calibri" w:hAnsi="Calibri" w:eastAsia="Calibri"/>
                <w:b w:val="0"/>
                <w:i w:val="0"/>
                <w:color w:val="1A1A1A"/>
                <w:sz w:val="20"/>
              </w:rPr>
              <w:t>A second PC produces a draft from a sample pack</w:t>
            </w:r>
          </w:p>
        </w:tc>
      </w:tr>
      <w:tr>
        <w:tc>
          <w:tcPr>
            <w:tcW w:type="dxa" w:w="2521"/>
            <w:shd w:fill="F4EFE6" w:val="clear"/>
          </w:tcPr>
          <w:p>
            <w:pPr>
              <w:spacing w:after="40" w:before="40"/>
            </w:pPr>
            <w:r/>
            <w:r>
              <w:rPr>
                <w:rFonts w:ascii="Calibri" w:hAnsi="Calibri" w:eastAsia="Calibri"/>
                <w:b w:val="0"/>
                <w:i w:val="0"/>
                <w:color w:val="1A1A1A"/>
                <w:sz w:val="20"/>
              </w:rPr>
              <w:t>E2</w:t>
            </w:r>
          </w:p>
        </w:tc>
        <w:tc>
          <w:tcPr>
            <w:tcW w:type="dxa" w:w="2521"/>
            <w:shd w:fill="F4EFE6" w:val="clear"/>
          </w:tcPr>
          <w:p>
            <w:pPr>
              <w:spacing w:after="40" w:before="40"/>
            </w:pPr>
            <w:r/>
            <w:r>
              <w:rPr>
                <w:rFonts w:ascii="Calibri" w:hAnsi="Calibri" w:eastAsia="Calibri"/>
                <w:b w:val="0"/>
                <w:i w:val="0"/>
                <w:color w:val="1A1A1A"/>
                <w:sz w:val="20"/>
              </w:rPr>
              <w:t>Brand file per buyer (name, colours). Passwords if requested — friction, not uncopyable.</w:t>
            </w:r>
          </w:p>
        </w:tc>
        <w:tc>
          <w:tcPr>
            <w:tcW w:type="dxa" w:w="2521"/>
            <w:shd w:fill="F4EFE6" w:val="clear"/>
          </w:tcPr>
          <w:p>
            <w:pPr>
              <w:spacing w:after="40" w:before="40"/>
            </w:pPr>
            <w:r/>
            <w:r>
              <w:rPr>
                <w:rFonts w:ascii="Calibri" w:hAnsi="Calibri" w:eastAsia="Calibri"/>
                <w:b w:val="0"/>
                <w:i w:val="0"/>
                <w:color w:val="1A1A1A"/>
                <w:sz w:val="20"/>
              </w:rPr>
              <w:t>Owner + Builder</w:t>
            </w:r>
          </w:p>
        </w:tc>
        <w:tc>
          <w:tcPr>
            <w:tcW w:type="dxa" w:w="2521"/>
            <w:shd w:fill="F4EFE6" w:val="clear"/>
          </w:tcPr>
          <w:p>
            <w:pPr>
              <w:spacing w:after="40" w:before="40"/>
            </w:pPr>
            <w:r/>
            <w:r>
              <w:rPr>
                <w:rFonts w:ascii="Calibri" w:hAnsi="Calibri" w:eastAsia="Calibri"/>
                <w:b w:val="0"/>
                <w:i w:val="0"/>
                <w:color w:val="1A1A1A"/>
                <w:sz w:val="20"/>
              </w:rPr>
              <w:t>Rebranding note is the script</w:t>
            </w:r>
          </w:p>
        </w:tc>
      </w:tr>
      <w:tr>
        <w:tc>
          <w:tcPr>
            <w:tcW w:type="dxa" w:w="2521"/>
          </w:tcPr>
          <w:p>
            <w:pPr>
              <w:spacing w:after="40" w:before="40"/>
            </w:pPr>
            <w:r/>
            <w:r>
              <w:rPr>
                <w:rFonts w:ascii="Calibri" w:hAnsi="Calibri" w:eastAsia="Calibri"/>
                <w:b w:val="0"/>
                <w:i w:val="0"/>
                <w:color w:val="1A1A1A"/>
                <w:sz w:val="20"/>
              </w:rPr>
              <w:t>E3</w:t>
            </w:r>
          </w:p>
        </w:tc>
        <w:tc>
          <w:tcPr>
            <w:tcW w:type="dxa" w:w="2521"/>
          </w:tcPr>
          <w:p>
            <w:pPr>
              <w:spacing w:after="40" w:before="40"/>
            </w:pPr>
            <w:r/>
            <w:r>
              <w:rPr>
                <w:rFonts w:ascii="Calibri" w:hAnsi="Calibri" w:eastAsia="Calibri"/>
                <w:b w:val="0"/>
                <w:i w:val="0"/>
                <w:color w:val="1A1A1A"/>
                <w:sz w:val="20"/>
              </w:rPr>
              <w:t>Screen as a separate small tool (yes/no + gap list; figure only if rates are on the page).</w:t>
            </w:r>
          </w:p>
        </w:tc>
        <w:tc>
          <w:tcPr>
            <w:tcW w:type="dxa" w:w="2521"/>
          </w:tcPr>
          <w:p>
            <w:pPr>
              <w:spacing w:after="40" w:before="40"/>
            </w:pPr>
            <w:r/>
            <w:r>
              <w:rPr>
                <w:rFonts w:ascii="Calibri" w:hAnsi="Calibri" w:eastAsia="Calibri"/>
                <w:b w:val="0"/>
                <w:i w:val="0"/>
                <w:color w:val="1A1A1A"/>
                <w:sz w:val="20"/>
              </w:rPr>
              <w:t>Builder if v1 includes it; else later</w:t>
            </w:r>
          </w:p>
        </w:tc>
        <w:tc>
          <w:tcPr>
            <w:tcW w:type="dxa" w:w="2521"/>
          </w:tcPr>
          <w:p>
            <w:pPr>
              <w:spacing w:after="40" w:before="40"/>
            </w:pPr>
            <w:r/>
            <w:r>
              <w:rPr>
                <w:rFonts w:ascii="Calibri" w:hAnsi="Calibri" w:eastAsia="Calibri"/>
                <w:b w:val="0"/>
                <w:i w:val="0"/>
                <w:color w:val="1A1A1A"/>
                <w:sz w:val="20"/>
              </w:rPr>
              <w:t>Lead provider can run it in minutes</w:t>
            </w:r>
          </w:p>
        </w:tc>
      </w:tr>
      <w:tr>
        <w:tc>
          <w:tcPr>
            <w:tcW w:type="dxa" w:w="2521"/>
            <w:shd w:fill="F4EFE6" w:val="clear"/>
          </w:tcPr>
          <w:p>
            <w:pPr>
              <w:spacing w:after="40" w:before="40"/>
            </w:pPr>
            <w:r/>
            <w:r>
              <w:rPr>
                <w:rFonts w:ascii="Calibri" w:hAnsi="Calibri" w:eastAsia="Calibri"/>
                <w:b w:val="0"/>
                <w:i w:val="0"/>
                <w:color w:val="1A1A1A"/>
                <w:sz w:val="20"/>
              </w:rPr>
              <w:t>E4</w:t>
            </w:r>
          </w:p>
        </w:tc>
        <w:tc>
          <w:tcPr>
            <w:tcW w:type="dxa" w:w="2521"/>
            <w:shd w:fill="F4EFE6" w:val="clear"/>
          </w:tcPr>
          <w:p>
            <w:pPr>
              <w:spacing w:after="40" w:before="40"/>
            </w:pPr>
            <w:r/>
            <w:r>
              <w:rPr>
                <w:rFonts w:ascii="Calibri" w:hAnsi="Calibri" w:eastAsia="Calibri"/>
                <w:b w:val="0"/>
                <w:i w:val="0"/>
                <w:color w:val="1A1A1A"/>
                <w:sz w:val="20"/>
              </w:rPr>
              <w:t>Fix a price (seat / pod / Screen / white-label). Pricing_Suggestions.docx is not an offer until you pick numbers.</w:t>
            </w:r>
          </w:p>
        </w:tc>
        <w:tc>
          <w:tcPr>
            <w:tcW w:type="dxa" w:w="2521"/>
            <w:shd w:fill="F4EFE6" w:val="clear"/>
          </w:tcPr>
          <w:p>
            <w:pPr>
              <w:spacing w:after="40" w:before="40"/>
            </w:pPr>
            <w:r/>
            <w:r>
              <w:rPr>
                <w:rFonts w:ascii="Calibri" w:hAnsi="Calibri" w:eastAsia="Calibri"/>
                <w:b w:val="0"/>
                <w:i w:val="0"/>
                <w:color w:val="1A1A1A"/>
                <w:sz w:val="20"/>
              </w:rPr>
              <w:t>Owner</w:t>
            </w:r>
          </w:p>
        </w:tc>
        <w:tc>
          <w:tcPr>
            <w:tcW w:type="dxa" w:w="2521"/>
            <w:shd w:fill="F4EFE6" w:val="clear"/>
          </w:tcPr>
          <w:p>
            <w:pPr>
              <w:spacing w:after="40" w:before="40"/>
            </w:pPr>
            <w:r/>
            <w:r>
              <w:rPr>
                <w:rFonts w:ascii="Calibri" w:hAnsi="Calibri" w:eastAsia="Calibri"/>
                <w:b w:val="0"/>
                <w:i w:val="0"/>
                <w:color w:val="1A1A1A"/>
                <w:sz w:val="20"/>
              </w:rPr>
              <w:t>Written quote</w:t>
            </w:r>
          </w:p>
        </w:tc>
      </w:tr>
      <w:tr>
        <w:tc>
          <w:tcPr>
            <w:tcW w:type="dxa" w:w="2521"/>
          </w:tcPr>
          <w:p>
            <w:pPr>
              <w:spacing w:after="40" w:before="40"/>
            </w:pPr>
            <w:r/>
            <w:r>
              <w:rPr>
                <w:rFonts w:ascii="Calibri" w:hAnsi="Calibri" w:eastAsia="Calibri"/>
                <w:b w:val="0"/>
                <w:i w:val="0"/>
                <w:color w:val="1A1A1A"/>
                <w:sz w:val="20"/>
              </w:rPr>
              <w:t>E5</w:t>
            </w:r>
          </w:p>
        </w:tc>
        <w:tc>
          <w:tcPr>
            <w:tcW w:type="dxa" w:w="2521"/>
          </w:tcPr>
          <w:p>
            <w:pPr>
              <w:spacing w:after="40" w:before="40"/>
            </w:pPr>
            <w:r/>
            <w:r>
              <w:rPr>
                <w:rFonts w:ascii="Calibri" w:hAnsi="Calibri" w:eastAsia="Calibri"/>
                <w:b w:val="0"/>
                <w:i w:val="0"/>
                <w:color w:val="1A1A1A"/>
                <w:sz w:val="20"/>
              </w:rPr>
              <w:t>Limitations page in every sale: not legal advice; solicitor instructs method; blanks stay blank.</w:t>
            </w:r>
          </w:p>
        </w:tc>
        <w:tc>
          <w:tcPr>
            <w:tcW w:type="dxa" w:w="2521"/>
          </w:tcPr>
          <w:p>
            <w:pPr>
              <w:spacing w:after="40" w:before="40"/>
            </w:pPr>
            <w:r/>
            <w:r>
              <w:rPr>
                <w:rFonts w:ascii="Calibri" w:hAnsi="Calibri" w:eastAsia="Calibri"/>
                <w:b w:val="0"/>
                <w:i w:val="0"/>
                <w:color w:val="1A1A1A"/>
                <w:sz w:val="20"/>
              </w:rPr>
              <w:t>Owner</w:t>
            </w:r>
          </w:p>
        </w:tc>
        <w:tc>
          <w:tcPr>
            <w:tcW w:type="dxa" w:w="2521"/>
          </w:tcPr>
          <w:p>
            <w:pPr>
              <w:spacing w:after="40" w:before="40"/>
            </w:pPr>
            <w:r/>
            <w:r>
              <w:rPr>
                <w:rFonts w:ascii="Calibri" w:hAnsi="Calibri" w:eastAsia="Calibri"/>
                <w:b w:val="0"/>
                <w:i w:val="0"/>
                <w:color w:val="1A1A1A"/>
                <w:sz w:val="20"/>
              </w:rPr>
              <w:t>In the pack the buyer signs</w:t>
            </w:r>
          </w:p>
        </w:tc>
      </w:tr>
      <w:tr>
        <w:tc>
          <w:tcPr>
            <w:tcW w:type="dxa" w:w="2521"/>
            <w:shd w:fill="F4EFE6" w:val="clear"/>
          </w:tcPr>
          <w:p>
            <w:pPr>
              <w:spacing w:after="40" w:before="40"/>
            </w:pPr>
            <w:r/>
            <w:r>
              <w:rPr>
                <w:rFonts w:ascii="Calibri" w:hAnsi="Calibri" w:eastAsia="Calibri"/>
                <w:b w:val="0"/>
                <w:i w:val="0"/>
                <w:color w:val="1A1A1A"/>
                <w:sz w:val="20"/>
              </w:rPr>
              <w:t>E6</w:t>
            </w:r>
          </w:p>
        </w:tc>
        <w:tc>
          <w:tcPr>
            <w:tcW w:type="dxa" w:w="2521"/>
            <w:shd w:fill="F4EFE6" w:val="clear"/>
          </w:tcPr>
          <w:p>
            <w:pPr>
              <w:spacing w:after="40" w:before="40"/>
            </w:pPr>
            <w:r/>
            <w:r>
              <w:rPr>
                <w:rFonts w:ascii="Calibri" w:hAnsi="Calibri" w:eastAsia="Calibri"/>
                <w:b w:val="0"/>
                <w:i w:val="0"/>
                <w:color w:val="1A1A1A"/>
                <w:sz w:val="20"/>
              </w:rPr>
              <w:t>Support owner named (who answers “this bill layout failed”).</w:t>
            </w:r>
          </w:p>
        </w:tc>
        <w:tc>
          <w:tcPr>
            <w:tcW w:type="dxa" w:w="2521"/>
            <w:shd w:fill="F4EFE6" w:val="clear"/>
          </w:tcPr>
          <w:p>
            <w:pPr>
              <w:spacing w:after="40" w:before="40"/>
            </w:pPr>
            <w:r/>
            <w:r>
              <w:rPr>
                <w:rFonts w:ascii="Calibri" w:hAnsi="Calibri" w:eastAsia="Calibri"/>
                <w:b w:val="0"/>
                <w:i w:val="0"/>
                <w:color w:val="1A1A1A"/>
                <w:sz w:val="20"/>
              </w:rPr>
              <w:t>Owner</w:t>
            </w:r>
          </w:p>
        </w:tc>
        <w:tc>
          <w:tcPr>
            <w:tcW w:type="dxa" w:w="2521"/>
            <w:shd w:fill="F4EFE6" w:val="clear"/>
          </w:tcPr>
          <w:p>
            <w:pPr>
              <w:spacing w:after="40" w:before="40"/>
            </w:pPr>
            <w:r/>
            <w:r>
              <w:rPr>
                <w:rFonts w:ascii="Calibri" w:hAnsi="Calibri" w:eastAsia="Calibri"/>
                <w:b w:val="0"/>
                <w:i w:val="0"/>
                <w:color w:val="1A1A1A"/>
                <w:sz w:val="20"/>
              </w:rPr>
              <w:t>A mailbox, not a void</w:t>
            </w:r>
          </w:p>
        </w:tc>
      </w:tr>
    </w:tbl>
    <w:p/>
    <w:p>
      <w:pPr>
        <w:pStyle w:val="Heading1"/>
      </w:pPr>
      <w:r>
        <w:rPr>
          <w:rFonts w:ascii="Calibri" w:hAnsi="Calibri"/>
          <w:color w:val="7A1F2B"/>
        </w:rPr>
        <w:t>6. The report — what must always be in it</w:t>
      </w:r>
    </w:p>
    <w:p>
      <w:pPr>
        <w:spacing w:after="160"/>
      </w:pPr>
      <w:r>
        <w:rPr>
          <w:rFonts w:ascii="Calibri" w:hAnsi="Calibri" w:eastAsia="Calibri"/>
          <w:b w:val="0"/>
          <w:i w:val="0"/>
          <w:color w:val="1A1A1A"/>
          <w:sz w:val="22"/>
        </w:rPr>
        <w:t>Use the current hybrid template and the Carlin How valuation as the pattern.</w:t>
      </w:r>
    </w:p>
    <w:p>
      <w:pPr>
        <w:pStyle w:val="ListBullet"/>
      </w:pPr>
      <w:r>
        <w:rPr>
          <w:rFonts w:ascii="Calibri" w:hAnsi="Calibri" w:eastAsia="Calibri"/>
          <w:b w:val="0"/>
          <w:i w:val="0"/>
          <w:color w:val="1A1A1A"/>
          <w:sz w:val="22"/>
        </w:rPr>
        <w:t>What this document is (quantum valuation; not advice).</w:t>
      </w:r>
    </w:p>
    <w:p>
      <w:pPr>
        <w:pStyle w:val="ListBullet"/>
      </w:pPr>
      <w:r>
        <w:rPr>
          <w:rFonts w:ascii="Calibri" w:hAnsi="Calibri" w:eastAsia="Calibri"/>
          <w:b w:val="0"/>
          <w:i w:val="0"/>
          <w:color w:val="1A1A1A"/>
          <w:sz w:val="22"/>
        </w:rPr>
        <w:t>Parties, contracts, meter — from the pages.</w:t>
      </w:r>
    </w:p>
    <w:p>
      <w:pPr>
        <w:pStyle w:val="ListBullet"/>
      </w:pPr>
      <w:r>
        <w:rPr>
          <w:rFonts w:ascii="Calibri" w:hAnsi="Calibri" w:eastAsia="Calibri"/>
          <w:b w:val="0"/>
          <w:i w:val="0"/>
          <w:color w:val="1A1A1A"/>
          <w:sz w:val="22"/>
        </w:rPr>
        <w:t>What the papers say about commission — quoted, not argued.</w:t>
      </w:r>
    </w:p>
    <w:p>
      <w:pPr>
        <w:pStyle w:val="ListBullet"/>
      </w:pPr>
      <w:r>
        <w:rPr>
          <w:rFonts w:ascii="Calibri" w:hAnsi="Calibri" w:eastAsia="Calibri"/>
          <w:b w:val="0"/>
          <w:i w:val="0"/>
          <w:color w:val="1A1A1A"/>
          <w:sz w:val="22"/>
        </w:rPr>
        <w:t>Every instructed method in tables, each marked sourced / proxy / instructed.</w:t>
      </w:r>
    </w:p>
    <w:p>
      <w:pPr>
        <w:pStyle w:val="ListBullet"/>
      </w:pPr>
      <w:r>
        <w:rPr>
          <w:rFonts w:ascii="Calibri" w:hAnsi="Calibri" w:eastAsia="Calibri"/>
          <w:b w:val="0"/>
          <w:i w:val="0"/>
          <w:color w:val="1A1A1A"/>
          <w:sz w:val="22"/>
        </w:rPr>
        <w:t>Headline method only if the solicitor named it.</w:t>
      </w:r>
    </w:p>
    <w:p>
      <w:pPr>
        <w:pStyle w:val="ListBullet"/>
      </w:pPr>
      <w:r>
        <w:rPr>
          <w:rFonts w:ascii="Calibri" w:hAnsi="Calibri" w:eastAsia="Calibri"/>
          <w:b w:val="0"/>
          <w:i w:val="0"/>
          <w:color w:val="1A1A1A"/>
          <w:sz w:val="22"/>
        </w:rPr>
        <w:t>Section that lists every assumption (40%, 6%, mid-point years, partial bills, OFGEM C, and any new one).</w:t>
      </w:r>
    </w:p>
    <w:p>
      <w:pPr>
        <w:pStyle w:val="ListBullet"/>
      </w:pPr>
      <w:r>
        <w:rPr>
          <w:rFonts w:ascii="Calibri" w:hAnsi="Calibri" w:eastAsia="Calibri"/>
          <w:b w:val="0"/>
          <w:i w:val="0"/>
          <w:color w:val="1A1A1A"/>
          <w:sz w:val="22"/>
        </w:rPr>
        <w:t>Document schedule: used for / not used for.</w:t>
      </w:r>
    </w:p>
    <w:p>
      <w:pPr>
        <w:pStyle w:val="ListBullet"/>
      </w:pPr>
      <w:r>
        <w:rPr>
          <w:rFonts w:ascii="Calibri" w:hAnsi="Calibri" w:eastAsia="Calibri"/>
          <w:b w:val="0"/>
          <w:i w:val="0"/>
          <w:color w:val="1A1A1A"/>
          <w:sz w:val="22"/>
        </w:rPr>
        <w:t>Blanks and required action.</w:t>
      </w:r>
    </w:p>
    <w:p>
      <w:pPr>
        <w:pStyle w:val="ListBullet"/>
      </w:pPr>
      <w:r>
        <w:rPr>
          <w:rFonts w:ascii="Calibri" w:hAnsi="Calibri" w:eastAsia="Calibri"/>
          <w:b w:val="0"/>
          <w:i w:val="0"/>
          <w:color w:val="1A1A1A"/>
          <w:sz w:val="22"/>
        </w:rPr>
        <w:t>JDH / Mersenne / other third-party totals only as cross-checks, never silently mixed.</w:t>
      </w:r>
    </w:p>
    <w:p>
      <w:pPr>
        <w:pStyle w:val="ListBullet"/>
      </w:pPr>
      <w:r>
        <w:rPr>
          <w:rFonts w:ascii="Calibri" w:hAnsi="Calibri" w:eastAsia="Calibri"/>
          <w:b w:val="0"/>
          <w:i w:val="0"/>
          <w:color w:val="1A1A1A"/>
          <w:sz w:val="22"/>
        </w:rPr>
        <w:t>Empty appendices not issued.</w:t>
      </w:r>
    </w:p>
    <w:p>
      <w:pPr>
        <w:spacing w:after="160"/>
      </w:pPr>
      <w:r>
        <w:rPr>
          <w:rFonts w:ascii="Calibri" w:hAnsi="Calibri" w:eastAsia="Calibri"/>
          <w:b w:val="0"/>
          <w:i w:val="0"/>
          <w:color w:val="1A1A1A"/>
          <w:sz w:val="22"/>
        </w:rPr>
        <w:t>If the solicitor asks for a new line tomorrow, add a table and an assumption row. Do not rewrite history on last week’s draft; issue a dated revision.</w:t>
      </w:r>
    </w:p>
    <w:p>
      <w:pPr>
        <w:pStyle w:val="Heading1"/>
      </w:pPr>
      <w:r>
        <w:rPr>
          <w:rFonts w:ascii="Calibri" w:hAnsi="Calibri"/>
          <w:color w:val="7A1F2B"/>
        </w:rPr>
        <w:t>7. Library — source of truth</w:t>
      </w:r>
    </w:p>
    <w:p>
      <w:pPr>
        <w:spacing w:after="160"/>
      </w:pPr>
      <w:r>
        <w:rPr>
          <w:rFonts w:ascii="Calibri" w:hAnsi="Calibri" w:eastAsia="Calibri"/>
          <w:b w:val="0"/>
          <w:i w:val="0"/>
          <w:color w:val="1A1A1A"/>
          <w:sz w:val="22"/>
        </w:rPr>
        <w:t>Do not write a second set of rules. These files already hold the pieces. This plan only sequences them.</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Need</w:t>
            </w:r>
          </w:p>
        </w:tc>
        <w:tc>
          <w:tcPr>
            <w:tcW w:type="dxa" w:w="5043"/>
            <w:shd w:fill="7A1F2B" w:val="clear"/>
          </w:tcPr>
          <w:p>
            <w:pPr>
              <w:spacing w:after="40" w:before="40"/>
            </w:pPr>
            <w:r/>
            <w:r>
              <w:rPr>
                <w:rFonts w:ascii="Calibri" w:hAnsi="Calibri" w:eastAsia="Calibri"/>
                <w:b/>
                <w:i w:val="0"/>
                <w:color w:val="FFFFFF"/>
                <w:sz w:val="20"/>
              </w:rPr>
              <w:t>File in the library</w:t>
            </w:r>
          </w:p>
        </w:tc>
      </w:tr>
      <w:tr>
        <w:tc>
          <w:tcPr>
            <w:tcW w:type="dxa" w:w="5043"/>
          </w:tcPr>
          <w:p>
            <w:pPr>
              <w:spacing w:after="40" w:before="40"/>
            </w:pPr>
            <w:r/>
            <w:r>
              <w:rPr>
                <w:rFonts w:ascii="Calibri" w:hAnsi="Calibri" w:eastAsia="Calibri"/>
                <w:b w:val="0"/>
                <w:i w:val="0"/>
                <w:color w:val="1A1A1A"/>
                <w:sz w:val="20"/>
              </w:rPr>
              <w:t>What the product is</w:t>
            </w:r>
          </w:p>
        </w:tc>
        <w:tc>
          <w:tcPr>
            <w:tcW w:type="dxa" w:w="5043"/>
          </w:tcPr>
          <w:p>
            <w:pPr>
              <w:spacing w:after="40" w:before="40"/>
            </w:pPr>
            <w:r/>
            <w:r>
              <w:rPr>
                <w:rFonts w:ascii="Calibri" w:hAnsi="Calibri" w:eastAsia="Calibri"/>
                <w:b w:val="0"/>
                <w:i w:val="0"/>
                <w:color w:val="1A1A1A"/>
                <w:sz w:val="20"/>
              </w:rPr>
              <w:t>What the finished product is; PRODUCT_AND_READINESS.md</w:t>
            </w:r>
          </w:p>
        </w:tc>
      </w:tr>
      <w:tr>
        <w:tc>
          <w:tcPr>
            <w:tcW w:type="dxa" w:w="5043"/>
            <w:shd w:fill="F4EFE6" w:val="clear"/>
          </w:tcPr>
          <w:p>
            <w:pPr>
              <w:spacing w:after="40" w:before="40"/>
            </w:pPr>
            <w:r/>
            <w:r>
              <w:rPr>
                <w:rFonts w:ascii="Calibri" w:hAnsi="Calibri" w:eastAsia="Calibri"/>
                <w:b w:val="0"/>
                <w:i w:val="0"/>
                <w:color w:val="1A1A1A"/>
                <w:sz w:val="20"/>
              </w:rPr>
              <w:t>One-case rule and documents to ask for</w:t>
            </w:r>
          </w:p>
        </w:tc>
        <w:tc>
          <w:tcPr>
            <w:tcW w:type="dxa" w:w="5043"/>
            <w:shd w:fill="F4EFE6" w:val="clear"/>
          </w:tcPr>
          <w:p>
            <w:pPr>
              <w:spacing w:after="40" w:before="40"/>
            </w:pPr>
            <w:r/>
            <w:r>
              <w:rPr>
                <w:rFonts w:ascii="Calibri" w:hAnsi="Calibri" w:eastAsia="Calibri"/>
                <w:b w:val="0"/>
                <w:i w:val="0"/>
                <w:color w:val="1A1A1A"/>
                <w:sz w:val="20"/>
              </w:rPr>
              <w:t>How one-case mode works; Documents for one case; Lead provider engagement note</w:t>
            </w:r>
          </w:p>
        </w:tc>
      </w:tr>
      <w:tr>
        <w:tc>
          <w:tcPr>
            <w:tcW w:type="dxa" w:w="5043"/>
          </w:tcPr>
          <w:p>
            <w:pPr>
              <w:spacing w:after="40" w:before="40"/>
            </w:pPr>
            <w:r/>
            <w:r>
              <w:rPr>
                <w:rFonts w:ascii="Calibri" w:hAnsi="Calibri" w:eastAsia="Calibri"/>
                <w:b w:val="0"/>
                <w:i w:val="0"/>
                <w:color w:val="1A1A1A"/>
                <w:sz w:val="20"/>
              </w:rPr>
              <w:t>Rates and imputed bills</w:t>
            </w:r>
          </w:p>
        </w:tc>
        <w:tc>
          <w:tcPr>
            <w:tcW w:type="dxa" w:w="5043"/>
          </w:tcPr>
          <w:p>
            <w:pPr>
              <w:spacing w:after="40" w:before="40"/>
            </w:pPr>
            <w:r/>
            <w:r>
              <w:rPr>
                <w:rFonts w:ascii="Calibri" w:hAnsi="Calibri" w:eastAsia="Calibri"/>
                <w:b w:val="0"/>
                <w:i w:val="0"/>
                <w:color w:val="1A1A1A"/>
                <w:sz w:val="20"/>
              </w:rPr>
              <w:t>Solicitor-instructed commission and interest; Missing bills; instruction.example.json</w:t>
            </w:r>
          </w:p>
        </w:tc>
      </w:tr>
      <w:tr>
        <w:tc>
          <w:tcPr>
            <w:tcW w:type="dxa" w:w="5043"/>
            <w:shd w:fill="F4EFE6" w:val="clear"/>
          </w:tcPr>
          <w:p>
            <w:pPr>
              <w:spacing w:after="40" w:before="40"/>
            </w:pPr>
            <w:r/>
            <w:r>
              <w:rPr>
                <w:rFonts w:ascii="Calibri" w:hAnsi="Calibri" w:eastAsia="Calibri"/>
                <w:b w:val="0"/>
                <w:i w:val="0"/>
                <w:color w:val="1A1A1A"/>
                <w:sz w:val="20"/>
              </w:rPr>
              <w:t>Calculator change control</w:t>
            </w:r>
          </w:p>
        </w:tc>
        <w:tc>
          <w:tcPr>
            <w:tcW w:type="dxa" w:w="5043"/>
            <w:shd w:fill="F4EFE6" w:val="clear"/>
          </w:tcPr>
          <w:p>
            <w:pPr>
              <w:spacing w:after="40" w:before="40"/>
            </w:pPr>
            <w:r/>
            <w:r>
              <w:rPr>
                <w:rFonts w:ascii="Calibri" w:hAnsi="Calibri" w:eastAsia="Calibri"/>
                <w:b w:val="0"/>
                <w:i w:val="0"/>
                <w:color w:val="1A1A1A"/>
                <w:sz w:val="20"/>
              </w:rPr>
              <w:t>The weekly review</w:t>
            </w:r>
          </w:p>
        </w:tc>
      </w:tr>
      <w:tr>
        <w:tc>
          <w:tcPr>
            <w:tcW w:type="dxa" w:w="5043"/>
          </w:tcPr>
          <w:p>
            <w:pPr>
              <w:spacing w:after="40" w:before="40"/>
            </w:pPr>
            <w:r/>
            <w:r>
              <w:rPr>
                <w:rFonts w:ascii="Calibri" w:hAnsi="Calibri" w:eastAsia="Calibri"/>
                <w:b w:val="0"/>
                <w:i w:val="0"/>
                <w:color w:val="1A1A1A"/>
                <w:sz w:val="20"/>
              </w:rPr>
              <w:t>Quality gate</w:t>
            </w:r>
          </w:p>
        </w:tc>
        <w:tc>
          <w:tcPr>
            <w:tcW w:type="dxa" w:w="5043"/>
          </w:tcPr>
          <w:p>
            <w:pPr>
              <w:spacing w:after="40" w:before="40"/>
            </w:pPr>
            <w:r/>
            <w:r>
              <w:rPr>
                <w:rFonts w:ascii="Calibri" w:hAnsi="Calibri" w:eastAsia="Calibri"/>
                <w:b w:val="0"/>
                <w:i w:val="0"/>
                <w:color w:val="1A1A1A"/>
                <w:sz w:val="20"/>
              </w:rPr>
              <w:t>Four-eyes tick sheet; Go-live checklist; What stops a bad number</w:t>
            </w:r>
          </w:p>
        </w:tc>
      </w:tr>
      <w:tr>
        <w:tc>
          <w:tcPr>
            <w:tcW w:type="dxa" w:w="5043"/>
            <w:shd w:fill="F4EFE6" w:val="clear"/>
          </w:tcPr>
          <w:p>
            <w:pPr>
              <w:spacing w:after="40" w:before="40"/>
            </w:pPr>
            <w:r/>
            <w:r>
              <w:rPr>
                <w:rFonts w:ascii="Calibri" w:hAnsi="Calibri" w:eastAsia="Calibri"/>
                <w:b w:val="0"/>
                <w:i w:val="0"/>
                <w:color w:val="1A1A1A"/>
                <w:sz w:val="20"/>
              </w:rPr>
              <w:t>Report pattern</w:t>
            </w:r>
          </w:p>
        </w:tc>
        <w:tc>
          <w:tcPr>
            <w:tcW w:type="dxa" w:w="5043"/>
            <w:shd w:fill="F4EFE6" w:val="clear"/>
          </w:tcPr>
          <w:p>
            <w:pPr>
              <w:spacing w:after="40" w:before="40"/>
            </w:pPr>
            <w:r/>
            <w:r>
              <w:rPr>
                <w:rFonts w:ascii="Calibri" w:hAnsi="Calibri" w:eastAsia="Calibri"/>
                <w:b w:val="0"/>
                <w:i w:val="0"/>
                <w:color w:val="1A1A1A"/>
                <w:sz w:val="20"/>
              </w:rPr>
              <w:t>Quantum valuation — Carlin How; Hybrid template v2</w:t>
            </w:r>
          </w:p>
        </w:tc>
      </w:tr>
      <w:tr>
        <w:tc>
          <w:tcPr>
            <w:tcW w:type="dxa" w:w="5043"/>
          </w:tcPr>
          <w:p>
            <w:pPr>
              <w:spacing w:after="40" w:before="40"/>
            </w:pPr>
            <w:r/>
            <w:r>
              <w:rPr>
                <w:rFonts w:ascii="Calibri" w:hAnsi="Calibri" w:eastAsia="Calibri"/>
                <w:b w:val="0"/>
                <w:i w:val="0"/>
                <w:color w:val="1A1A1A"/>
                <w:sz w:val="20"/>
              </w:rPr>
              <w:t>Method notes</w:t>
            </w:r>
          </w:p>
        </w:tc>
        <w:tc>
          <w:tcPr>
            <w:tcW w:type="dxa" w:w="5043"/>
          </w:tcPr>
          <w:p>
            <w:pPr>
              <w:spacing w:after="40" w:before="40"/>
            </w:pPr>
            <w:r/>
            <w:r>
              <w:rPr>
                <w:rFonts w:ascii="Calibri" w:hAnsi="Calibri" w:eastAsia="Calibri"/>
                <w:b w:val="0"/>
                <w:i w:val="0"/>
                <w:color w:val="1A1A1A"/>
                <w:sz w:val="20"/>
              </w:rPr>
              <w:t>Wood method note — Carlin How; Wood method note — Centurion Blast</w:t>
            </w:r>
          </w:p>
        </w:tc>
      </w:tr>
      <w:tr>
        <w:tc>
          <w:tcPr>
            <w:tcW w:type="dxa" w:w="5043"/>
            <w:shd w:fill="F4EFE6" w:val="clear"/>
          </w:tcPr>
          <w:p>
            <w:pPr>
              <w:spacing w:after="40" w:before="40"/>
            </w:pPr>
            <w:r/>
            <w:r>
              <w:rPr>
                <w:rFonts w:ascii="Calibri" w:hAnsi="Calibri" w:eastAsia="Calibri"/>
                <w:b w:val="0"/>
                <w:i w:val="0"/>
                <w:color w:val="1A1A1A"/>
                <w:sz w:val="20"/>
              </w:rPr>
              <w:t>Desk week one</w:t>
            </w:r>
          </w:p>
        </w:tc>
        <w:tc>
          <w:tcPr>
            <w:tcW w:type="dxa" w:w="5043"/>
            <w:shd w:fill="F4EFE6" w:val="clear"/>
          </w:tcPr>
          <w:p>
            <w:pPr>
              <w:spacing w:after="40" w:before="40"/>
            </w:pPr>
            <w:r/>
            <w:r>
              <w:rPr>
                <w:rFonts w:ascii="Calibri" w:hAnsi="Calibri" w:eastAsia="Calibri"/>
                <w:b w:val="0"/>
                <w:i w:val="0"/>
                <w:color w:val="1A1A1A"/>
                <w:sz w:val="20"/>
              </w:rPr>
              <w:t>First week on a desk; Next steps to launch</w:t>
            </w:r>
          </w:p>
        </w:tc>
      </w:tr>
      <w:tr>
        <w:tc>
          <w:tcPr>
            <w:tcW w:type="dxa" w:w="5043"/>
          </w:tcPr>
          <w:p>
            <w:pPr>
              <w:spacing w:after="40" w:before="40"/>
            </w:pPr>
            <w:r/>
            <w:r>
              <w:rPr>
                <w:rFonts w:ascii="Calibri" w:hAnsi="Calibri" w:eastAsia="Calibri"/>
                <w:b w:val="0"/>
                <w:i w:val="0"/>
                <w:color w:val="1A1A1A"/>
                <w:sz w:val="20"/>
              </w:rPr>
              <w:t>Commercial / Screen / brand</w:t>
            </w:r>
          </w:p>
        </w:tc>
        <w:tc>
          <w:tcPr>
            <w:tcW w:type="dxa" w:w="5043"/>
          </w:tcPr>
          <w:p>
            <w:pPr>
              <w:spacing w:after="40" w:before="40"/>
            </w:pPr>
            <w:r/>
            <w:r>
              <w:rPr>
                <w:rFonts w:ascii="Calibri" w:hAnsi="Calibri" w:eastAsia="Calibri"/>
                <w:b w:val="0"/>
                <w:i w:val="0"/>
                <w:color w:val="1A1A1A"/>
                <w:sz w:val="20"/>
              </w:rPr>
              <w:t>Commercial and operating pack; Crimson Horse screen; Rebranding, passwords and copying; Pricing suggestions</w:t>
            </w:r>
          </w:p>
        </w:tc>
      </w:tr>
      <w:tr>
        <w:tc>
          <w:tcPr>
            <w:tcW w:type="dxa" w:w="5043"/>
            <w:shd w:fill="F4EFE6" w:val="clear"/>
          </w:tcPr>
          <w:p>
            <w:pPr>
              <w:spacing w:after="40" w:before="40"/>
            </w:pPr>
            <w:r/>
            <w:r>
              <w:rPr>
                <w:rFonts w:ascii="Calibri" w:hAnsi="Calibri" w:eastAsia="Calibri"/>
                <w:b w:val="0"/>
                <w:i w:val="0"/>
                <w:color w:val="1A1A1A"/>
                <w:sz w:val="20"/>
              </w:rPr>
              <w:t>Working files</w:t>
            </w:r>
          </w:p>
        </w:tc>
        <w:tc>
          <w:tcPr>
            <w:tcW w:type="dxa" w:w="5043"/>
            <w:shd w:fill="F4EFE6" w:val="clear"/>
          </w:tcPr>
          <w:p>
            <w:pPr>
              <w:spacing w:after="40" w:before="40"/>
            </w:pPr>
            <w:r/>
            <w:r>
              <w:rPr>
                <w:rFonts w:ascii="Calibri" w:hAnsi="Calibri" w:eastAsia="Calibri"/>
                <w:b w:val="0"/>
                <w:i w:val="0"/>
                <w:color w:val="1A1A1A"/>
                <w:sz w:val="20"/>
              </w:rPr>
              <w:t>Crimson_Calculator_v2.10.xlsm; Data Bridge templates; Extract README</w:t>
            </w:r>
          </w:p>
        </w:tc>
      </w:tr>
    </w:tbl>
    <w:p/>
    <w:p>
      <w:pPr>
        <w:pStyle w:val="Heading1"/>
      </w:pPr>
      <w:r>
        <w:rPr>
          <w:rFonts w:ascii="Calibri" w:hAnsi="Calibri"/>
          <w:color w:val="7A1F2B"/>
        </w:rPr>
        <w:t>8. Sequence on a wall</w:t>
      </w:r>
    </w:p>
    <w:p>
      <w:pPr>
        <w:spacing w:after="160"/>
      </w:pPr>
      <w:r>
        <w:rPr>
          <w:rFonts w:ascii="Calibri" w:hAnsi="Calibri" w:eastAsia="Calibri"/>
          <w:b w:val="0"/>
          <w:i w:val="0"/>
          <w:color w:val="1A1A1A"/>
          <w:sz w:val="22"/>
        </w:rPr>
        <w:t>A1–A5 freeze and policy → C1 folder in (do not wait for B to be perfect) → C3–C7 first draft → B1–B5 Method panel agreed onto the live Calculator → D1–D2 folder-in draft-out → E1–E6 only after three clean cases.</w:t>
      </w:r>
    </w:p>
    <w:p>
      <w:pPr>
        <w:spacing w:after="160"/>
      </w:pPr>
      <w:r>
        <w:rPr>
          <w:rFonts w:ascii="Calibri" w:hAnsi="Calibri" w:eastAsia="Calibri"/>
          <w:b w:val="0"/>
          <w:i w:val="0"/>
          <w:color w:val="1A1A1A"/>
          <w:sz w:val="22"/>
        </w:rPr>
        <w:t>If the folder (C1) is late, B can still proceed using Carlin How’s published A and C as the test pack. Do not test the Method panel on invented kWh.</w:t>
      </w:r>
    </w:p>
    <w:p>
      <w:pPr>
        <w:pStyle w:val="Heading1"/>
      </w:pPr>
      <w:r>
        <w:rPr>
          <w:rFonts w:ascii="Calibri" w:hAnsi="Calibri"/>
          <w:color w:val="7A1F2B"/>
        </w:rPr>
        <w:t>9. What is not in v1</w:t>
      </w:r>
    </w:p>
    <w:p>
      <w:pPr>
        <w:pStyle w:val="ListBullet"/>
      </w:pPr>
      <w:r>
        <w:rPr>
          <w:rFonts w:ascii="Calibri" w:hAnsi="Calibri" w:eastAsia="Calibri"/>
          <w:b w:val="0"/>
          <w:i w:val="0"/>
          <w:color w:val="1A1A1A"/>
          <w:sz w:val="22"/>
        </w:rPr>
        <w:t>Twenty cases in one pile.</w:t>
      </w:r>
    </w:p>
    <w:p>
      <w:pPr>
        <w:pStyle w:val="ListBullet"/>
      </w:pPr>
      <w:r>
        <w:rPr>
          <w:rFonts w:ascii="Calibri" w:hAnsi="Calibri" w:eastAsia="Calibri"/>
          <w:b w:val="0"/>
          <w:i w:val="0"/>
          <w:color w:val="1A1A1A"/>
          <w:sz w:val="22"/>
        </w:rPr>
        <w:t>A default 40%, 6%, 8%, or 3p/kWh for buyers who have not instructed them.</w:t>
      </w:r>
    </w:p>
    <w:p>
      <w:pPr>
        <w:pStyle w:val="ListBullet"/>
      </w:pPr>
      <w:r>
        <w:rPr>
          <w:rFonts w:ascii="Calibri" w:hAnsi="Calibri" w:eastAsia="Calibri"/>
          <w:b w:val="0"/>
          <w:i w:val="0"/>
          <w:color w:val="1A1A1A"/>
          <w:sz w:val="22"/>
        </w:rPr>
        <w:t>Mortgage quantum inside this energy product.</w:t>
      </w:r>
    </w:p>
    <w:p>
      <w:pPr>
        <w:pStyle w:val="ListBullet"/>
      </w:pPr>
      <w:r>
        <w:rPr>
          <w:rFonts w:ascii="Calibri" w:hAnsi="Calibri" w:eastAsia="Calibri"/>
          <w:b w:val="0"/>
          <w:i w:val="0"/>
          <w:color w:val="1A1A1A"/>
          <w:sz w:val="22"/>
        </w:rPr>
        <w:t>A promise that Screen is a claim value.</w:t>
      </w:r>
    </w:p>
    <w:p>
      <w:pPr>
        <w:pStyle w:val="ListBullet"/>
      </w:pPr>
      <w:r>
        <w:rPr>
          <w:rFonts w:ascii="Calibri" w:hAnsi="Calibri" w:eastAsia="Calibri"/>
          <w:b w:val="0"/>
          <w:i w:val="0"/>
          <w:color w:val="1A1A1A"/>
          <w:sz w:val="22"/>
        </w:rPr>
        <w:t>Uncopyable files. Passwords only slow a copier down.</w:t>
      </w:r>
    </w:p>
    <w:p>
      <w:pPr>
        <w:pStyle w:val="Heading1"/>
      </w:pPr>
      <w:r>
        <w:rPr>
          <w:rFonts w:ascii="Calibri" w:hAnsi="Calibri"/>
          <w:color w:val="7A1F2B"/>
        </w:rPr>
        <w:t>10. Immediate next actions (do these, in this order)</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Order</w:t>
            </w:r>
          </w:p>
        </w:tc>
        <w:tc>
          <w:tcPr>
            <w:tcW w:type="dxa" w:w="3362"/>
            <w:shd w:fill="7A1F2B" w:val="clear"/>
          </w:tcPr>
          <w:p>
            <w:pPr>
              <w:spacing w:after="40" w:before="40"/>
            </w:pPr>
            <w:r/>
            <w:r>
              <w:rPr>
                <w:rFonts w:ascii="Calibri" w:hAnsi="Calibri" w:eastAsia="Calibri"/>
                <w:b/>
                <w:i w:val="0"/>
                <w:color w:val="FFFFFF"/>
                <w:sz w:val="20"/>
              </w:rPr>
              <w:t>Who</w:t>
            </w:r>
          </w:p>
        </w:tc>
        <w:tc>
          <w:tcPr>
            <w:tcW w:type="dxa" w:w="3362"/>
            <w:shd w:fill="7A1F2B" w:val="clear"/>
          </w:tcPr>
          <w:p>
            <w:pPr>
              <w:spacing w:after="40" w:before="40"/>
            </w:pPr>
            <w:r/>
            <w:r>
              <w:rPr>
                <w:rFonts w:ascii="Calibri" w:hAnsi="Calibri" w:eastAsia="Calibri"/>
                <w:b/>
                <w:i w:val="0"/>
                <w:color w:val="FFFFFF"/>
                <w:sz w:val="20"/>
              </w:rPr>
              <w:t>Action</w:t>
            </w:r>
          </w:p>
        </w:tc>
      </w:tr>
      <w:tr>
        <w:tc>
          <w:tcPr>
            <w:tcW w:type="dxa" w:w="3362"/>
          </w:tcPr>
          <w:p>
            <w:pPr>
              <w:spacing w:after="40" w:before="40"/>
            </w:pPr>
            <w:r/>
            <w:r>
              <w:rPr>
                <w:rFonts w:ascii="Calibri" w:hAnsi="Calibri" w:eastAsia="Calibri"/>
                <w:b w:val="0"/>
                <w:i w:val="0"/>
                <w:color w:val="1A1A1A"/>
                <w:sz w:val="20"/>
              </w:rPr>
              <w:t>1</w:t>
            </w:r>
          </w:p>
        </w:tc>
        <w:tc>
          <w:tcPr>
            <w:tcW w:type="dxa" w:w="3362"/>
          </w:tcPr>
          <w:p>
            <w:pPr>
              <w:spacing w:after="40" w:before="40"/>
            </w:pPr>
            <w:r/>
            <w:r>
              <w:rPr>
                <w:rFonts w:ascii="Calibri" w:hAnsi="Calibri" w:eastAsia="Calibri"/>
                <w:b w:val="0"/>
                <w:i w:val="0"/>
                <w:color w:val="1A1A1A"/>
                <w:sz w:val="20"/>
              </w:rPr>
              <w:t>Owner</w:t>
            </w:r>
          </w:p>
        </w:tc>
        <w:tc>
          <w:tcPr>
            <w:tcW w:type="dxa" w:w="3362"/>
          </w:tcPr>
          <w:p>
            <w:pPr>
              <w:spacing w:after="40" w:before="40"/>
            </w:pPr>
            <w:r/>
            <w:r>
              <w:rPr>
                <w:rFonts w:ascii="Calibri" w:hAnsi="Calibri" w:eastAsia="Calibri"/>
                <w:b w:val="0"/>
                <w:i w:val="0"/>
                <w:color w:val="1A1A1A"/>
                <w:sz w:val="20"/>
              </w:rPr>
              <w:t>Confirm operator, reviewer, and that this plan is the operating document.</w:t>
            </w:r>
          </w:p>
        </w:tc>
      </w:tr>
      <w:tr>
        <w:tc>
          <w:tcPr>
            <w:tcW w:type="dxa" w:w="3362"/>
            <w:shd w:fill="F4EFE6" w:val="clear"/>
          </w:tcPr>
          <w:p>
            <w:pPr>
              <w:spacing w:after="40" w:before="40"/>
            </w:pPr>
            <w:r/>
            <w:r>
              <w:rPr>
                <w:rFonts w:ascii="Calibri" w:hAnsi="Calibri" w:eastAsia="Calibri"/>
                <w:b w:val="0"/>
                <w:i w:val="0"/>
                <w:color w:val="1A1A1A"/>
                <w:sz w:val="20"/>
              </w:rPr>
              <w:t>2</w:t>
            </w:r>
          </w:p>
        </w:tc>
        <w:tc>
          <w:tcPr>
            <w:tcW w:type="dxa" w:w="3362"/>
            <w:shd w:fill="F4EFE6" w:val="clear"/>
          </w:tcPr>
          <w:p>
            <w:pPr>
              <w:spacing w:after="40" w:before="40"/>
            </w:pPr>
            <w:r/>
            <w:r>
              <w:rPr>
                <w:rFonts w:ascii="Calibri" w:hAnsi="Calibri" w:eastAsia="Calibri"/>
                <w:b w:val="0"/>
                <w:i w:val="0"/>
                <w:color w:val="1A1A1A"/>
                <w:sz w:val="20"/>
              </w:rPr>
              <w:t>Owner</w:t>
            </w:r>
          </w:p>
        </w:tc>
        <w:tc>
          <w:tcPr>
            <w:tcW w:type="dxa" w:w="3362"/>
            <w:shd w:fill="F4EFE6" w:val="clear"/>
          </w:tcPr>
          <w:p>
            <w:pPr>
              <w:spacing w:after="40" w:before="40"/>
            </w:pPr>
            <w:r/>
            <w:r>
              <w:rPr>
                <w:rFonts w:ascii="Calibri" w:hAnsi="Calibri" w:eastAsia="Calibri"/>
                <w:b w:val="0"/>
                <w:i w:val="0"/>
                <w:color w:val="1A1A1A"/>
                <w:sz w:val="20"/>
              </w:rPr>
              <w:t>Send one complete energy folder, or confirm Carlin How remains the test pack until that folder exists.</w:t>
            </w:r>
          </w:p>
        </w:tc>
      </w:tr>
      <w:tr>
        <w:tc>
          <w:tcPr>
            <w:tcW w:type="dxa" w:w="3362"/>
          </w:tcPr>
          <w:p>
            <w:pPr>
              <w:spacing w:after="40" w:before="40"/>
            </w:pPr>
            <w:r/>
            <w:r>
              <w:rPr>
                <w:rFonts w:ascii="Calibri" w:hAnsi="Calibri" w:eastAsia="Calibri"/>
                <w:b w:val="0"/>
                <w:i w:val="0"/>
                <w:color w:val="1A1A1A"/>
                <w:sz w:val="20"/>
              </w:rPr>
              <w:t>3</w:t>
            </w:r>
          </w:p>
        </w:tc>
        <w:tc>
          <w:tcPr>
            <w:tcW w:type="dxa" w:w="3362"/>
          </w:tcPr>
          <w:p>
            <w:pPr>
              <w:spacing w:after="40" w:before="40"/>
            </w:pPr>
            <w:r/>
            <w:r>
              <w:rPr>
                <w:rFonts w:ascii="Calibri" w:hAnsi="Calibri" w:eastAsia="Calibri"/>
                <w:b w:val="0"/>
                <w:i w:val="0"/>
                <w:color w:val="1A1A1A"/>
                <w:sz w:val="20"/>
              </w:rPr>
              <w:t>Solicitor via Owner</w:t>
            </w:r>
          </w:p>
        </w:tc>
        <w:tc>
          <w:tcPr>
            <w:tcW w:type="dxa" w:w="3362"/>
          </w:tcPr>
          <w:p>
            <w:pPr>
              <w:spacing w:after="40" w:before="40"/>
            </w:pPr>
            <w:r/>
            <w:r>
              <w:rPr>
                <w:rFonts w:ascii="Calibri" w:hAnsi="Calibri" w:eastAsia="Calibri"/>
                <w:b w:val="0"/>
                <w:i w:val="0"/>
                <w:color w:val="1A1A1A"/>
                <w:sz w:val="20"/>
              </w:rPr>
              <w:t>Return the instruction template: headline method; B; E; D mode; imputed bills; calculation date. “Leave blank” is a valid instruction.</w:t>
            </w:r>
          </w:p>
        </w:tc>
      </w:tr>
      <w:tr>
        <w:tc>
          <w:tcPr>
            <w:tcW w:type="dxa" w:w="3362"/>
            <w:shd w:fill="F4EFE6" w:val="clear"/>
          </w:tcPr>
          <w:p>
            <w:pPr>
              <w:spacing w:after="40" w:before="40"/>
            </w:pPr>
            <w:r/>
            <w:r>
              <w:rPr>
                <w:rFonts w:ascii="Calibri" w:hAnsi="Calibri" w:eastAsia="Calibri"/>
                <w:b w:val="0"/>
                <w:i w:val="0"/>
                <w:color w:val="1A1A1A"/>
                <w:sz w:val="20"/>
              </w:rPr>
              <w:t>4</w:t>
            </w:r>
          </w:p>
        </w:tc>
        <w:tc>
          <w:tcPr>
            <w:tcW w:type="dxa" w:w="3362"/>
            <w:shd w:fill="F4EFE6" w:val="clear"/>
          </w:tcPr>
          <w:p>
            <w:pPr>
              <w:spacing w:after="40" w:before="40"/>
            </w:pPr>
            <w:r/>
            <w:r>
              <w:rPr>
                <w:rFonts w:ascii="Calibri" w:hAnsi="Calibri" w:eastAsia="Calibri"/>
                <w:b w:val="0"/>
                <w:i w:val="0"/>
                <w:color w:val="1A1A1A"/>
                <w:sz w:val="20"/>
              </w:rPr>
              <w:t>Builder</w:t>
            </w:r>
          </w:p>
        </w:tc>
        <w:tc>
          <w:tcPr>
            <w:tcW w:type="dxa" w:w="3362"/>
            <w:shd w:fill="F4EFE6" w:val="clear"/>
          </w:tcPr>
          <w:p>
            <w:pPr>
              <w:spacing w:after="40" w:before="40"/>
            </w:pPr>
            <w:r/>
            <w:r>
              <w:rPr>
                <w:rFonts w:ascii="Calibri" w:hAnsi="Calibri" w:eastAsia="Calibri"/>
                <w:b w:val="0"/>
                <w:i w:val="0"/>
                <w:color w:val="1A1A1A"/>
                <w:sz w:val="20"/>
              </w:rPr>
              <w:t>Build the Method panel on a dated copy of the Calculator (not silent overwrite of v2.10). Prove Carlin How two-line output.</w:t>
            </w:r>
          </w:p>
        </w:tc>
      </w:tr>
      <w:tr>
        <w:tc>
          <w:tcPr>
            <w:tcW w:type="dxa" w:w="3362"/>
          </w:tcPr>
          <w:p>
            <w:pPr>
              <w:spacing w:after="40" w:before="40"/>
            </w:pPr>
            <w:r/>
            <w:r>
              <w:rPr>
                <w:rFonts w:ascii="Calibri" w:hAnsi="Calibri" w:eastAsia="Calibri"/>
                <w:b w:val="0"/>
                <w:i w:val="0"/>
                <w:color w:val="1A1A1A"/>
                <w:sz w:val="20"/>
              </w:rPr>
              <w:t>5</w:t>
            </w:r>
          </w:p>
        </w:tc>
        <w:tc>
          <w:tcPr>
            <w:tcW w:type="dxa" w:w="3362"/>
          </w:tcPr>
          <w:p>
            <w:pPr>
              <w:spacing w:after="40" w:before="40"/>
            </w:pPr>
            <w:r/>
            <w:r>
              <w:rPr>
                <w:rFonts w:ascii="Calibri" w:hAnsi="Calibri" w:eastAsia="Calibri"/>
                <w:b w:val="0"/>
                <w:i w:val="0"/>
                <w:color w:val="1A1A1A"/>
                <w:sz w:val="20"/>
              </w:rPr>
              <w:t>Owner</w:t>
            </w:r>
          </w:p>
        </w:tc>
        <w:tc>
          <w:tcPr>
            <w:tcW w:type="dxa" w:w="3362"/>
          </w:tcPr>
          <w:p>
            <w:pPr>
              <w:spacing w:after="40" w:before="40"/>
            </w:pPr>
            <w:r/>
            <w:r>
              <w:rPr>
                <w:rFonts w:ascii="Calibri" w:hAnsi="Calibri" w:eastAsia="Calibri"/>
                <w:b w:val="0"/>
                <w:i w:val="0"/>
                <w:color w:val="1A1A1A"/>
                <w:sz w:val="20"/>
              </w:rPr>
              <w:t>Weekly review: agree or reject that copy. Only then does it become live.</w:t>
            </w:r>
          </w:p>
        </w:tc>
      </w:tr>
      <w:tr>
        <w:tc>
          <w:tcPr>
            <w:tcW w:type="dxa" w:w="3362"/>
            <w:shd w:fill="F4EFE6" w:val="clear"/>
          </w:tcPr>
          <w:p>
            <w:pPr>
              <w:spacing w:after="40" w:before="40"/>
            </w:pPr>
            <w:r/>
            <w:r>
              <w:rPr>
                <w:rFonts w:ascii="Calibri" w:hAnsi="Calibri" w:eastAsia="Calibri"/>
                <w:b w:val="0"/>
                <w:i w:val="0"/>
                <w:color w:val="1A1A1A"/>
                <w:sz w:val="20"/>
              </w:rPr>
              <w:t>6</w:t>
            </w:r>
          </w:p>
        </w:tc>
        <w:tc>
          <w:tcPr>
            <w:tcW w:type="dxa" w:w="3362"/>
            <w:shd w:fill="F4EFE6" w:val="clear"/>
          </w:tcPr>
          <w:p>
            <w:pPr>
              <w:spacing w:after="40" w:before="40"/>
            </w:pPr>
            <w:r/>
            <w:r>
              <w:rPr>
                <w:rFonts w:ascii="Calibri" w:hAnsi="Calibri" w:eastAsia="Calibri"/>
                <w:b w:val="0"/>
                <w:i w:val="0"/>
                <w:color w:val="1A1A1A"/>
                <w:sz w:val="20"/>
              </w:rPr>
              <w:t>Builder + operator + reviewer</w:t>
            </w:r>
          </w:p>
        </w:tc>
        <w:tc>
          <w:tcPr>
            <w:tcW w:type="dxa" w:w="3362"/>
            <w:shd w:fill="F4EFE6" w:val="clear"/>
          </w:tcPr>
          <w:p>
            <w:pPr>
              <w:spacing w:after="40" w:before="40"/>
            </w:pPr>
            <w:r/>
            <w:r>
              <w:rPr>
                <w:rFonts w:ascii="Calibri" w:hAnsi="Calibri" w:eastAsia="Calibri"/>
                <w:b w:val="0"/>
                <w:i w:val="0"/>
                <w:color w:val="1A1A1A"/>
                <w:sz w:val="20"/>
              </w:rPr>
              <w:t>Run C3–C7 on the first complete folder (or re-run Carlin How as the dry run).</w:t>
            </w:r>
          </w:p>
        </w:tc>
      </w:tr>
      <w:tr>
        <w:tc>
          <w:tcPr>
            <w:tcW w:type="dxa" w:w="3362"/>
          </w:tcPr>
          <w:p>
            <w:pPr>
              <w:spacing w:after="40" w:before="40"/>
            </w:pPr>
            <w:r/>
            <w:r>
              <w:rPr>
                <w:rFonts w:ascii="Calibri" w:hAnsi="Calibri" w:eastAsia="Calibri"/>
                <w:b w:val="0"/>
                <w:i w:val="0"/>
                <w:color w:val="1A1A1A"/>
                <w:sz w:val="20"/>
              </w:rPr>
              <w:t>7</w:t>
            </w:r>
          </w:p>
        </w:tc>
        <w:tc>
          <w:tcPr>
            <w:tcW w:type="dxa" w:w="3362"/>
          </w:tcPr>
          <w:p>
            <w:pPr>
              <w:spacing w:after="40" w:before="40"/>
            </w:pPr>
            <w:r/>
            <w:r>
              <w:rPr>
                <w:rFonts w:ascii="Calibri" w:hAnsi="Calibri" w:eastAsia="Calibri"/>
                <w:b w:val="0"/>
                <w:i w:val="0"/>
                <w:color w:val="1A1A1A"/>
                <w:sz w:val="20"/>
              </w:rPr>
              <w:t>Owner</w:t>
            </w:r>
          </w:p>
        </w:tc>
        <w:tc>
          <w:tcPr>
            <w:tcW w:type="dxa" w:w="3362"/>
          </w:tcPr>
          <w:p>
            <w:pPr>
              <w:spacing w:after="40" w:before="40"/>
            </w:pPr>
            <w:r/>
            <w:r>
              <w:rPr>
                <w:rFonts w:ascii="Calibri" w:hAnsi="Calibri" w:eastAsia="Calibri"/>
                <w:b w:val="0"/>
                <w:i w:val="0"/>
                <w:color w:val="1A1A1A"/>
                <w:sz w:val="20"/>
              </w:rPr>
              <w:t>Do not sell until D2 has worked on a case the builder did not hand-write.</w:t>
            </w:r>
          </w:p>
        </w:tc>
      </w:tr>
    </w:tbl>
    <w:p/>
    <w:p>
      <w:pPr>
        <w:spacing w:after="160"/>
      </w:pPr>
      <w:r>
        <w:rPr>
          <w:rFonts w:ascii="Calibri" w:hAnsi="Calibri" w:eastAsia="Calibri"/>
          <w:b/>
          <w:i w:val="0"/>
          <w:color w:val="1A1A1A"/>
          <w:sz w:val="22"/>
        </w:rPr>
        <w:t>The product is deliverable. The risk is not missing notes — they are in the library. The risk is freezing one method, or selling before the Calculator can switch methods on instruction. This plan exists so neither happens.</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Delivery plan  ·  20 August 2026  ·  Not legal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crimson-horse-logo.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i w:val="0"/>
        <w:color w:val="7A1F2B"/>
        <w:sz w:val="18"/>
      </w:rPr>
      <w:t xml:space="preserve">    CRIMSON HORSE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