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pPr>
      <w:r>
        <w:rPr>
          <w:rFonts w:ascii="Calibri" w:hAnsi="Calibri" w:eastAsia="Calibri"/>
          <w:b/>
          <w:color w:val="7A1F2B"/>
          <w:sz w:val="52"/>
        </w:rPr>
        <w:t>CRIMSON SCREEN</w:t>
      </w:r>
    </w:p>
    <w:p>
      <w:pPr>
        <w:spacing w:after="160"/>
      </w:pPr>
      <w:r>
        <w:rPr>
          <w:rFonts w:ascii="Calibri" w:hAnsi="Calibri" w:eastAsia="Calibri"/>
          <w:b w:val="0"/>
          <w:i w:val="0"/>
          <w:color w:val="4A4A4A"/>
          <w:sz w:val="26"/>
        </w:rPr>
        <w:t>A short yes-or-no look at a business energy file before it is submitted</w:t>
      </w:r>
    </w:p>
    <w:p>
      <w:pPr>
        <w:pStyle w:val="Heading1"/>
      </w:pPr>
      <w:r>
        <w:rPr>
          <w:rFonts w:ascii="Calibri" w:hAnsi="Calibri"/>
          <w:color w:val="7A1F2B"/>
        </w:rPr>
        <w:t>What it is</w:t>
      </w:r>
    </w:p>
    <w:p>
      <w:pPr>
        <w:spacing w:after="160"/>
      </w:pPr>
      <w:r>
        <w:rPr>
          <w:rFonts w:ascii="Calibri" w:hAnsi="Calibri" w:eastAsia="Calibri"/>
          <w:b w:val="0"/>
          <w:i w:val="0"/>
          <w:color w:val="1A1A1A"/>
          <w:sz w:val="22"/>
        </w:rPr>
        <w:t>Crimson Screen is a small tool for lead providers. It asks a short series of questions about the papers they already have. It then says whether the file is ready to send, what is still needed, and — only if the papers support it — an indicated range for a figure.</w:t>
      </w:r>
    </w:p>
    <w:p>
      <w:pPr>
        <w:spacing w:after="160"/>
      </w:pPr>
      <w:r>
        <w:rPr>
          <w:rFonts w:ascii="Calibri" w:hAnsi="Calibri" w:eastAsia="Calibri"/>
          <w:b w:val="0"/>
          <w:i w:val="0"/>
          <w:color w:val="1A1A1A"/>
          <w:sz w:val="22"/>
        </w:rPr>
        <w:t>It is designed to be used on more than one computer. Each computer looks at one case at a time.</w:t>
      </w:r>
    </w:p>
    <w:p>
      <w:pPr>
        <w:pStyle w:val="Heading1"/>
      </w:pPr>
      <w:r>
        <w:rPr>
          <w:rFonts w:ascii="Calibri" w:hAnsi="Calibri"/>
          <w:color w:val="7A1F2B"/>
        </w:rPr>
        <w:t>The questions it asks</w:t>
      </w:r>
    </w:p>
    <w:tbl>
      <w:tblPr>
        <w:tblStyle w:val="TableGrid"/>
        <w:tblW w:type="auto" w:w="0"/>
        <w:jc w:val="center"/>
        <w:tblLook w:firstColumn="1" w:firstRow="1" w:lastColumn="0" w:lastRow="0" w:noHBand="0" w:noVBand="1" w:val="04A0"/>
      </w:tblPr>
      <w:tblGrid>
        <w:gridCol w:w="5043"/>
        <w:gridCol w:w="5043"/>
      </w:tblGrid>
      <w:tr>
        <w:tc>
          <w:tcPr>
            <w:tcW w:type="dxa" w:w="5043"/>
            <w:shd w:fill="7A1F2B" w:val="clear"/>
          </w:tcPr>
          <w:p>
            <w:pPr>
              <w:spacing w:after="40" w:before="40"/>
            </w:pPr>
            <w:r/>
            <w:r>
              <w:rPr>
                <w:rFonts w:ascii="Calibri" w:hAnsi="Calibri" w:eastAsia="Calibri"/>
                <w:b/>
                <w:color w:val="FFFFFF"/>
                <w:sz w:val="20"/>
              </w:rPr>
              <w:t>Question</w:t>
            </w:r>
          </w:p>
        </w:tc>
        <w:tc>
          <w:tcPr>
            <w:tcW w:type="dxa" w:w="5043"/>
            <w:shd w:fill="7A1F2B" w:val="clear"/>
          </w:tcPr>
          <w:p>
            <w:pPr>
              <w:spacing w:after="40" w:before="40"/>
            </w:pPr>
            <w:r/>
            <w:r>
              <w:rPr>
                <w:rFonts w:ascii="Calibri" w:hAnsi="Calibri" w:eastAsia="Calibri"/>
                <w:b/>
                <w:color w:val="FFFFFF"/>
                <w:sz w:val="20"/>
              </w:rPr>
              <w:t>If the answer is no</w:t>
            </w:r>
          </w:p>
        </w:tc>
      </w:tr>
      <w:tr>
        <w:tc>
          <w:tcPr>
            <w:tcW w:type="dxa" w:w="5043"/>
            <w:shd w:fill="FFFFFF" w:val="clear"/>
          </w:tcPr>
          <w:p>
            <w:pPr>
              <w:spacing w:after="40" w:before="40"/>
            </w:pPr>
            <w:r/>
            <w:r>
              <w:rPr>
                <w:rFonts w:ascii="Calibri" w:hAnsi="Calibri" w:eastAsia="Calibri"/>
                <w:b w:val="0"/>
                <w:color w:val="1A1A1A"/>
                <w:sz w:val="18"/>
              </w:rPr>
              <w:t>Is there a signed contract or a welcome / award letter with rates and dates?</w:t>
            </w:r>
          </w:p>
        </w:tc>
        <w:tc>
          <w:tcPr>
            <w:tcW w:type="dxa" w:w="5043"/>
            <w:shd w:fill="FFFFFF" w:val="clear"/>
          </w:tcPr>
          <w:p>
            <w:pPr>
              <w:spacing w:after="40" w:before="40"/>
            </w:pPr>
            <w:r/>
            <w:r>
              <w:rPr>
                <w:rFonts w:ascii="Calibri" w:hAnsi="Calibri" w:eastAsia="Calibri"/>
                <w:b w:val="0"/>
                <w:color w:val="1A1A1A"/>
                <w:sz w:val="18"/>
              </w:rPr>
              <w:t>The file is not ready. Please obtain the contract or welcome letter.</w:t>
            </w:r>
          </w:p>
        </w:tc>
      </w:tr>
      <w:tr>
        <w:tc>
          <w:tcPr>
            <w:tcW w:type="dxa" w:w="5043"/>
            <w:shd w:fill="F7F2F3" w:val="clear"/>
          </w:tcPr>
          <w:p>
            <w:pPr>
              <w:spacing w:after="40" w:before="40"/>
            </w:pPr>
            <w:r/>
            <w:r>
              <w:rPr>
                <w:rFonts w:ascii="Calibri" w:hAnsi="Calibri" w:eastAsia="Calibri"/>
                <w:b w:val="0"/>
                <w:color w:val="1A1A1A"/>
                <w:sz w:val="18"/>
              </w:rPr>
              <w:t>Are the supplier name, site address and MPAN or MPRN on the papers?</w:t>
            </w:r>
          </w:p>
        </w:tc>
        <w:tc>
          <w:tcPr>
            <w:tcW w:type="dxa" w:w="5043"/>
            <w:shd w:fill="F7F2F3" w:val="clear"/>
          </w:tcPr>
          <w:p>
            <w:pPr>
              <w:spacing w:after="40" w:before="40"/>
            </w:pPr>
            <w:r/>
            <w:r>
              <w:rPr>
                <w:rFonts w:ascii="Calibri" w:hAnsi="Calibri" w:eastAsia="Calibri"/>
                <w:b w:val="0"/>
                <w:color w:val="1A1A1A"/>
                <w:sz w:val="18"/>
              </w:rPr>
              <w:t>Please obtain a bill or contract that shows the meter point.</w:t>
            </w:r>
          </w:p>
        </w:tc>
      </w:tr>
      <w:tr>
        <w:tc>
          <w:tcPr>
            <w:tcW w:type="dxa" w:w="5043"/>
            <w:shd w:fill="FFFFFF" w:val="clear"/>
          </w:tcPr>
          <w:p>
            <w:pPr>
              <w:spacing w:after="40" w:before="40"/>
            </w:pPr>
            <w:r/>
            <w:r>
              <w:rPr>
                <w:rFonts w:ascii="Calibri" w:hAnsi="Calibri" w:eastAsia="Calibri"/>
                <w:b w:val="0"/>
                <w:color w:val="1A1A1A"/>
                <w:sz w:val="18"/>
              </w:rPr>
              <w:t>Are there bills for the period you want looked at?</w:t>
            </w:r>
          </w:p>
        </w:tc>
        <w:tc>
          <w:tcPr>
            <w:tcW w:type="dxa" w:w="5043"/>
            <w:shd w:fill="FFFFFF" w:val="clear"/>
          </w:tcPr>
          <w:p>
            <w:pPr>
              <w:spacing w:after="40" w:before="40"/>
            </w:pPr>
            <w:r/>
            <w:r>
              <w:rPr>
                <w:rFonts w:ascii="Calibri" w:hAnsi="Calibri" w:eastAsia="Calibri"/>
                <w:b w:val="0"/>
                <w:color w:val="1A1A1A"/>
                <w:sz w:val="18"/>
              </w:rPr>
              <w:t>A first look can still be done on the contract alone, but any figure based on actual use will wait.</w:t>
            </w:r>
          </w:p>
        </w:tc>
      </w:tr>
      <w:tr>
        <w:tc>
          <w:tcPr>
            <w:tcW w:type="dxa" w:w="5043"/>
            <w:shd w:fill="F7F2F3" w:val="clear"/>
          </w:tcPr>
          <w:p>
            <w:pPr>
              <w:spacing w:after="40" w:before="40"/>
            </w:pPr>
            <w:r/>
            <w:r>
              <w:rPr>
                <w:rFonts w:ascii="Calibri" w:hAnsi="Calibri" w:eastAsia="Calibri"/>
                <w:b w:val="0"/>
                <w:color w:val="1A1A1A"/>
                <w:sz w:val="18"/>
              </w:rPr>
              <w:t>Was a broker used, and is there a letter of authority?</w:t>
            </w:r>
          </w:p>
        </w:tc>
        <w:tc>
          <w:tcPr>
            <w:tcW w:type="dxa" w:w="5043"/>
            <w:shd w:fill="F7F2F3" w:val="clear"/>
          </w:tcPr>
          <w:p>
            <w:pPr>
              <w:spacing w:after="40" w:before="40"/>
            </w:pPr>
            <w:r/>
            <w:r>
              <w:rPr>
                <w:rFonts w:ascii="Calibri" w:hAnsi="Calibri" w:eastAsia="Calibri"/>
                <w:b w:val="0"/>
                <w:color w:val="1A1A1A"/>
                <w:sz w:val="18"/>
              </w:rPr>
              <w:t>Please obtain the LOA if you can. The file can still be sent, and the gap will be marked.</w:t>
            </w:r>
          </w:p>
        </w:tc>
      </w:tr>
      <w:tr>
        <w:tc>
          <w:tcPr>
            <w:tcW w:type="dxa" w:w="5043"/>
            <w:shd w:fill="FFFFFF" w:val="clear"/>
          </w:tcPr>
          <w:p>
            <w:pPr>
              <w:spacing w:after="40" w:before="40"/>
            </w:pPr>
            <w:r/>
            <w:r>
              <w:rPr>
                <w:rFonts w:ascii="Calibri" w:hAnsi="Calibri" w:eastAsia="Calibri"/>
                <w:b w:val="0"/>
                <w:color w:val="1A1A1A"/>
                <w:sz w:val="18"/>
              </w:rPr>
              <w:t>Is commission printed on the contract or in a broker document?</w:t>
            </w:r>
          </w:p>
        </w:tc>
        <w:tc>
          <w:tcPr>
            <w:tcW w:type="dxa" w:w="5043"/>
            <w:shd w:fill="FFFFFF" w:val="clear"/>
          </w:tcPr>
          <w:p>
            <w:pPr>
              <w:spacing w:after="40" w:before="40"/>
            </w:pPr>
            <w:r/>
            <w:r>
              <w:rPr>
                <w:rFonts w:ascii="Calibri" w:hAnsi="Calibri" w:eastAsia="Calibri"/>
                <w:b w:val="0"/>
                <w:color w:val="1A1A1A"/>
                <w:sz w:val="18"/>
              </w:rPr>
              <w:t>Do not estimate a percentage. The file can be sent. The commission field will stay blank unless a solicitor later instructs a figure in writing.</w:t>
            </w:r>
          </w:p>
        </w:tc>
      </w:tr>
      <w:tr>
        <w:tc>
          <w:tcPr>
            <w:tcW w:type="dxa" w:w="5043"/>
            <w:shd w:fill="F7F2F3" w:val="clear"/>
          </w:tcPr>
          <w:p>
            <w:pPr>
              <w:spacing w:after="40" w:before="40"/>
            </w:pPr>
            <w:r/>
            <w:r>
              <w:rPr>
                <w:rFonts w:ascii="Calibri" w:hAnsi="Calibri" w:eastAsia="Calibri"/>
                <w:b w:val="0"/>
                <w:color w:val="1A1A1A"/>
                <w:sz w:val="18"/>
              </w:rPr>
              <w:t>Are the contract term and estimated annual use shown?</w:t>
            </w:r>
          </w:p>
        </w:tc>
        <w:tc>
          <w:tcPr>
            <w:tcW w:type="dxa" w:w="5043"/>
            <w:shd w:fill="F7F2F3" w:val="clear"/>
          </w:tcPr>
          <w:p>
            <w:pPr>
              <w:spacing w:after="40" w:before="40"/>
            </w:pPr>
            <w:r/>
            <w:r>
              <w:rPr>
                <w:rFonts w:ascii="Calibri" w:hAnsi="Calibri" w:eastAsia="Calibri"/>
                <w:b w:val="0"/>
                <w:color w:val="1A1A1A"/>
                <w:sz w:val="18"/>
              </w:rPr>
              <w:t>Please obtain the schedule. Very short terms and very low EAC often produce a small figure.</w:t>
            </w:r>
          </w:p>
        </w:tc>
      </w:tr>
      <w:tr>
        <w:tc>
          <w:tcPr>
            <w:tcW w:type="dxa" w:w="5043"/>
            <w:shd w:fill="FFFFFF" w:val="clear"/>
          </w:tcPr>
          <w:p>
            <w:pPr>
              <w:spacing w:after="40" w:before="40"/>
            </w:pPr>
            <w:r/>
            <w:r>
              <w:rPr>
                <w:rFonts w:ascii="Calibri" w:hAnsi="Calibri" w:eastAsia="Calibri"/>
                <w:b w:val="0"/>
                <w:color w:val="1A1A1A"/>
                <w:sz w:val="18"/>
              </w:rPr>
              <w:t>Is the printed unit rate lower than any evidenced comparator you have been given?</w:t>
            </w:r>
          </w:p>
        </w:tc>
        <w:tc>
          <w:tcPr>
            <w:tcW w:type="dxa" w:w="5043"/>
            <w:shd w:fill="FFFFFF" w:val="clear"/>
          </w:tcPr>
          <w:p>
            <w:pPr>
              <w:spacing w:after="40" w:before="40"/>
            </w:pPr>
            <w:r/>
            <w:r>
              <w:rPr>
                <w:rFonts w:ascii="Calibri" w:hAnsi="Calibri" w:eastAsia="Calibri"/>
                <w:b w:val="0"/>
                <w:color w:val="1A1A1A"/>
                <w:sz w:val="18"/>
              </w:rPr>
              <w:t>If the comparator is higher, Method 1 may be nil. That is a fact to record, not a reason to invent a different rate.</w:t>
            </w:r>
          </w:p>
        </w:tc>
      </w:tr>
    </w:tbl>
    <w:p/>
    <w:p>
      <w:pPr>
        <w:pStyle w:val="Heading1"/>
      </w:pPr>
      <w:r>
        <w:rPr>
          <w:rFonts w:ascii="Calibri" w:hAnsi="Calibri"/>
          <w:color w:val="7A1F2B"/>
        </w:rPr>
        <w:t>The answers it gives</w:t>
      </w:r>
    </w:p>
    <w:p>
      <w:pPr>
        <w:pStyle w:val="ListBullet"/>
        <w:spacing w:after="60"/>
      </w:pPr>
      <w:r>
        <w:rPr>
          <w:rFonts w:ascii="Calibri" w:hAnsi="Calibri" w:eastAsia="Calibri"/>
          <w:b w:val="0"/>
          <w:color w:val="1A1A1A"/>
          <w:sz w:val="22"/>
        </w:rPr>
        <w:t>Ready to send — the papers needed for a first look are present.</w:t>
      </w:r>
    </w:p>
    <w:p>
      <w:pPr>
        <w:pStyle w:val="ListBullet"/>
        <w:spacing w:after="60"/>
      </w:pPr>
      <w:r>
        <w:rPr>
          <w:rFonts w:ascii="Calibri" w:hAnsi="Calibri" w:eastAsia="Calibri"/>
          <w:b w:val="0"/>
          <w:color w:val="1A1A1A"/>
          <w:sz w:val="22"/>
        </w:rPr>
        <w:t>Send, but these items are still needed — the file can come in; the gaps are listed.</w:t>
      </w:r>
    </w:p>
    <w:p>
      <w:pPr>
        <w:pStyle w:val="ListBullet"/>
        <w:spacing w:after="60"/>
      </w:pPr>
      <w:r>
        <w:rPr>
          <w:rFonts w:ascii="Calibri" w:hAnsi="Calibri" w:eastAsia="Calibri"/>
          <w:b w:val="0"/>
          <w:color w:val="1A1A1A"/>
          <w:sz w:val="22"/>
        </w:rPr>
        <w:t>Not yet — please obtain the items listed before sending.</w:t>
      </w:r>
    </w:p>
    <w:p>
      <w:pPr>
        <w:pStyle w:val="ListBullet"/>
        <w:spacing w:after="60"/>
      </w:pPr>
      <w:r>
        <w:rPr>
          <w:rFonts w:ascii="Calibri" w:hAnsi="Calibri" w:eastAsia="Calibri"/>
          <w:b w:val="0"/>
          <w:color w:val="1A1A1A"/>
          <w:sz w:val="22"/>
        </w:rPr>
        <w:t>An indicated figure, only if the contract rates and a period of use (bills or instructed EAC) are present. If they are not, it says so and does not guess.</w:t>
      </w:r>
    </w:p>
    <w:p>
      <w:pPr>
        <w:pStyle w:val="Heading1"/>
      </w:pPr>
      <w:r>
        <w:rPr>
          <w:rFonts w:ascii="Calibri" w:hAnsi="Calibri"/>
          <w:color w:val="7A1F2B"/>
        </w:rPr>
        <w:t>How long each look should take</w:t>
      </w:r>
    </w:p>
    <w:tbl>
      <w:tblPr>
        <w:tblStyle w:val="TableGrid"/>
        <w:tblW w:type="auto" w:w="0"/>
        <w:jc w:val="center"/>
        <w:tblLook w:firstColumn="1" w:firstRow="1" w:lastColumn="0" w:lastRow="0" w:noHBand="0" w:noVBand="1" w:val="04A0"/>
      </w:tblPr>
      <w:tblGrid>
        <w:gridCol w:w="5043"/>
        <w:gridCol w:w="5043"/>
      </w:tblGrid>
      <w:tr>
        <w:tc>
          <w:tcPr>
            <w:tcW w:type="dxa" w:w="5043"/>
            <w:shd w:fill="7A1F2B" w:val="clear"/>
          </w:tcPr>
          <w:p>
            <w:pPr>
              <w:spacing w:after="40" w:before="40"/>
            </w:pPr>
            <w:r/>
            <w:r>
              <w:rPr>
                <w:rFonts w:ascii="Calibri" w:hAnsi="Calibri" w:eastAsia="Calibri"/>
                <w:b/>
                <w:color w:val="FFFFFF"/>
                <w:sz w:val="20"/>
              </w:rPr>
              <w:t>What you have</w:t>
            </w:r>
          </w:p>
        </w:tc>
        <w:tc>
          <w:tcPr>
            <w:tcW w:type="dxa" w:w="5043"/>
            <w:shd w:fill="7A1F2B" w:val="clear"/>
          </w:tcPr>
          <w:p>
            <w:pPr>
              <w:spacing w:after="40" w:before="40"/>
            </w:pPr>
            <w:r/>
            <w:r>
              <w:rPr>
                <w:rFonts w:ascii="Calibri" w:hAnsi="Calibri" w:eastAsia="Calibri"/>
                <w:b/>
                <w:color w:val="FFFFFF"/>
                <w:sz w:val="20"/>
              </w:rPr>
              <w:t>Time to allow</w:t>
            </w:r>
          </w:p>
        </w:tc>
      </w:tr>
      <w:tr>
        <w:tc>
          <w:tcPr>
            <w:tcW w:type="dxa" w:w="5043"/>
            <w:shd w:fill="FFFFFF" w:val="clear"/>
          </w:tcPr>
          <w:p>
            <w:pPr>
              <w:spacing w:after="40" w:before="40"/>
            </w:pPr>
            <w:r/>
            <w:r>
              <w:rPr>
                <w:rFonts w:ascii="Calibri" w:hAnsi="Calibri" w:eastAsia="Calibri"/>
                <w:b w:val="0"/>
                <w:color w:val="1A1A1A"/>
                <w:sz w:val="18"/>
              </w:rPr>
              <w:t>Contract (or welcome letter) and a clear run of bills</w:t>
            </w:r>
          </w:p>
        </w:tc>
        <w:tc>
          <w:tcPr>
            <w:tcW w:type="dxa" w:w="5043"/>
            <w:shd w:fill="FFFFFF" w:val="clear"/>
          </w:tcPr>
          <w:p>
            <w:pPr>
              <w:spacing w:after="40" w:before="40"/>
            </w:pPr>
            <w:r/>
            <w:r>
              <w:rPr>
                <w:rFonts w:ascii="Calibri" w:hAnsi="Calibri" w:eastAsia="Calibri"/>
                <w:b w:val="0"/>
                <w:color w:val="1A1A1A"/>
                <w:sz w:val="18"/>
              </w:rPr>
              <w:t>About 8 to 15 minutes</w:t>
            </w:r>
          </w:p>
        </w:tc>
      </w:tr>
      <w:tr>
        <w:tc>
          <w:tcPr>
            <w:tcW w:type="dxa" w:w="5043"/>
            <w:shd w:fill="F7F2F3" w:val="clear"/>
          </w:tcPr>
          <w:p>
            <w:pPr>
              <w:spacing w:after="40" w:before="40"/>
            </w:pPr>
            <w:r/>
            <w:r>
              <w:rPr>
                <w:rFonts w:ascii="Calibri" w:hAnsi="Calibri" w:eastAsia="Calibri"/>
                <w:b w:val="0"/>
                <w:color w:val="1A1A1A"/>
                <w:sz w:val="18"/>
              </w:rPr>
              <w:t>Contract only, or bills only</w:t>
            </w:r>
          </w:p>
        </w:tc>
        <w:tc>
          <w:tcPr>
            <w:tcW w:type="dxa" w:w="5043"/>
            <w:shd w:fill="F7F2F3" w:val="clear"/>
          </w:tcPr>
          <w:p>
            <w:pPr>
              <w:spacing w:after="40" w:before="40"/>
            </w:pPr>
            <w:r/>
            <w:r>
              <w:rPr>
                <w:rFonts w:ascii="Calibri" w:hAnsi="Calibri" w:eastAsia="Calibri"/>
                <w:b w:val="0"/>
                <w:color w:val="1A1A1A"/>
                <w:sz w:val="18"/>
              </w:rPr>
              <w:t>About 5 to 8 minutes, mostly to list what is missing</w:t>
            </w:r>
          </w:p>
        </w:tc>
      </w:tr>
      <w:tr>
        <w:tc>
          <w:tcPr>
            <w:tcW w:type="dxa" w:w="5043"/>
            <w:shd w:fill="FFFFFF" w:val="clear"/>
          </w:tcPr>
          <w:p>
            <w:pPr>
              <w:spacing w:after="40" w:before="40"/>
            </w:pPr>
            <w:r/>
            <w:r>
              <w:rPr>
                <w:rFonts w:ascii="Calibri" w:hAnsi="Calibri" w:eastAsia="Calibri"/>
                <w:b w:val="0"/>
                <w:color w:val="1A1A1A"/>
                <w:sz w:val="18"/>
              </w:rPr>
              <w:t>A mixed or unclear folder that has to be sorted first</w:t>
            </w:r>
          </w:p>
        </w:tc>
        <w:tc>
          <w:tcPr>
            <w:tcW w:type="dxa" w:w="5043"/>
            <w:shd w:fill="FFFFFF" w:val="clear"/>
          </w:tcPr>
          <w:p>
            <w:pPr>
              <w:spacing w:after="40" w:before="40"/>
            </w:pPr>
            <w:r/>
            <w:r>
              <w:rPr>
                <w:rFonts w:ascii="Calibri" w:hAnsi="Calibri" w:eastAsia="Calibri"/>
                <w:b w:val="0"/>
                <w:color w:val="1A1A1A"/>
                <w:sz w:val="18"/>
              </w:rPr>
              <w:t>About 15 to 20 minutes</w:t>
            </w:r>
          </w:p>
        </w:tc>
      </w:tr>
      <w:tr>
        <w:tc>
          <w:tcPr>
            <w:tcW w:type="dxa" w:w="5043"/>
            <w:shd w:fill="F7F2F3" w:val="clear"/>
          </w:tcPr>
          <w:p>
            <w:pPr>
              <w:spacing w:after="40" w:before="40"/>
            </w:pPr>
            <w:r/>
            <w:r>
              <w:rPr>
                <w:rFonts w:ascii="Calibri" w:hAnsi="Calibri" w:eastAsia="Calibri"/>
                <w:b w:val="0"/>
                <w:color w:val="1A1A1A"/>
                <w:sz w:val="18"/>
              </w:rPr>
              <w:t>A later full valuation, after the Bridge is complete</w:t>
            </w:r>
          </w:p>
        </w:tc>
        <w:tc>
          <w:tcPr>
            <w:tcW w:type="dxa" w:w="5043"/>
            <w:shd w:fill="F7F2F3" w:val="clear"/>
          </w:tcPr>
          <w:p>
            <w:pPr>
              <w:spacing w:after="40" w:before="40"/>
            </w:pPr>
            <w:r/>
            <w:r>
              <w:rPr>
                <w:rFonts w:ascii="Calibri" w:hAnsi="Calibri" w:eastAsia="Calibri"/>
                <w:b w:val="0"/>
                <w:color w:val="1A1A1A"/>
                <w:sz w:val="18"/>
              </w:rPr>
              <w:t>Longer, and not the same as this first look</w:t>
            </w:r>
          </w:p>
        </w:tc>
      </w:tr>
    </w:tbl>
    <w:p/>
    <w:p>
      <w:pPr>
        <w:spacing w:after="160"/>
      </w:pPr>
      <w:r>
        <w:rPr>
          <w:rFonts w:ascii="Calibri" w:hAnsi="Calibri" w:eastAsia="Calibri"/>
          <w:b w:val="0"/>
          <w:i w:val="0"/>
          <w:color w:val="1A1A1A"/>
          <w:sz w:val="22"/>
        </w:rPr>
        <w:t>Those times assume a trained operator and readable PDFs. Scanned images that cannot be read will take longer, or will be returned with a request for a clearer copy.</w:t>
      </w:r>
    </w:p>
    <w:p>
      <w:pPr>
        <w:pStyle w:val="Heading1"/>
      </w:pPr>
      <w:r>
        <w:rPr>
          <w:rFonts w:ascii="Calibri" w:hAnsi="Calibri"/>
          <w:color w:val="7A1F2B"/>
        </w:rPr>
        <w:t>How it can be sold and installed</w:t>
      </w:r>
    </w:p>
    <w:p>
      <w:pPr>
        <w:spacing w:after="160"/>
      </w:pPr>
      <w:r>
        <w:rPr>
          <w:rFonts w:ascii="Calibri" w:hAnsi="Calibri" w:eastAsia="Calibri"/>
          <w:b w:val="0"/>
          <w:i w:val="0"/>
          <w:color w:val="1A1A1A"/>
          <w:sz w:val="22"/>
        </w:rPr>
        <w:t>Crimson Screen can be licensed on its own to lead providers, or sit in front of Crimson Extract for the firm that then takes the case. It is meant to run on more than one computer, each looking at one case.</w:t>
      </w:r>
    </w:p>
    <w:p>
      <w:pPr>
        <w:spacing w:after="160"/>
      </w:pPr>
      <w:r>
        <w:rPr>
          <w:rFonts w:ascii="Calibri" w:hAnsi="Calibri" w:eastAsia="Calibri"/>
          <w:b w:val="0"/>
          <w:i w:val="0"/>
          <w:color w:val="1A1A1A"/>
          <w:sz w:val="22"/>
        </w:rPr>
        <w:t>Suggested price, not a quote: £6,000–£10,000 a year per seat, or £25–£40 per screening if you prefer volume pricing. White-label for a named lead provider is a one-off extra.</w:t>
      </w:r>
    </w:p>
    <w:p>
      <w:pPr>
        <w:pStyle w:val="Heading1"/>
      </w:pPr>
      <w:r>
        <w:rPr>
          <w:rFonts w:ascii="Calibri" w:hAnsi="Calibri"/>
          <w:color w:val="7A1F2B"/>
        </w:rPr>
        <w:t>What it will not do</w:t>
      </w:r>
    </w:p>
    <w:p>
      <w:pPr>
        <w:pStyle w:val="ListBullet"/>
        <w:spacing w:after="60"/>
      </w:pPr>
      <w:r>
        <w:rPr>
          <w:rFonts w:ascii="Calibri" w:hAnsi="Calibri" w:eastAsia="Calibri"/>
          <w:b w:val="0"/>
          <w:color w:val="1A1A1A"/>
          <w:sz w:val="22"/>
        </w:rPr>
        <w:t>It will not invent a commission percentage or a fair rate.</w:t>
      </w:r>
    </w:p>
    <w:p>
      <w:pPr>
        <w:pStyle w:val="ListBullet"/>
        <w:spacing w:after="60"/>
      </w:pPr>
      <w:r>
        <w:rPr>
          <w:rFonts w:ascii="Calibri" w:hAnsi="Calibri" w:eastAsia="Calibri"/>
          <w:b w:val="0"/>
          <w:color w:val="1A1A1A"/>
          <w:sz w:val="22"/>
        </w:rPr>
        <w:t>It will not treat a previous report’s 15% or 40% as a fact.</w:t>
      </w:r>
    </w:p>
    <w:p>
      <w:pPr>
        <w:pStyle w:val="ListBullet"/>
        <w:spacing w:after="60"/>
      </w:pPr>
      <w:r>
        <w:rPr>
          <w:rFonts w:ascii="Calibri" w:hAnsi="Calibri" w:eastAsia="Calibri"/>
          <w:b w:val="0"/>
          <w:color w:val="1A1A1A"/>
          <w:sz w:val="22"/>
        </w:rPr>
        <w:t>It will not give legal advice.</w:t>
      </w:r>
    </w:p>
    <w:p>
      <w:pPr>
        <w:pStyle w:val="ListBullet"/>
        <w:spacing w:after="60"/>
      </w:pPr>
      <w:r>
        <w:rPr>
          <w:rFonts w:ascii="Calibri" w:hAnsi="Calibri" w:eastAsia="Calibri"/>
          <w:b w:val="0"/>
          <w:color w:val="1A1A1A"/>
          <w:sz w:val="22"/>
        </w:rPr>
        <w:t>It will not say “take this case” as a legal conclusion. It will say whether the papers meet the list we have published.</w:t>
      </w:r>
    </w:p>
    <w:sectPr w:rsidR="00FC693F" w:rsidRPr="0006063C" w:rsidSect="00034616">
      <w:headerReference w:type="default" r:id="rId9"/>
      <w:footerReference w:type="default" r:id="rId10"/>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Calibri" w:hAnsi="Calibri" w:eastAsia="Calibri"/>
        <w:b w:val="0"/>
        <w:color w:val="4A4A4A"/>
        <w:sz w:val="16"/>
      </w:rPr>
      <w:t>Crimson Screen  ·  Yes or no before the file is sent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color w:val="7A1F2B"/>
        <w:sz w:val="18"/>
      </w:rPr>
      <w:t xml:space="preserve">    CRIMSON HORSE</w:t>
    </w:r>
  </w:p>
  <w:p>
    <w:pPr>
      <w:pStyle w:val="Header"/>
      <w:jc w:val="right"/>
    </w:pPr>
    <w:r>
      <w:rPr>
        <w:rFonts w:ascii="Calibri" w:hAnsi="Calibri" w:eastAsia="Calibri"/>
        <w:b/>
        <w:color w:val="7A1F2B"/>
        <w:sz w:val="18"/>
      </w:rPr>
      <w:t>CRIMSON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