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pPr>
      <w:r>
        <w:rPr>
          <w:rFonts w:ascii="Calibri" w:hAnsi="Calibri" w:eastAsia="Calibri"/>
          <w:b/>
          <w:color w:val="7A1F2B"/>
          <w:sz w:val="52"/>
        </w:rPr>
        <w:t>Working with Crimson Horse</w:t>
      </w:r>
    </w:p>
    <w:p>
      <w:pPr>
        <w:spacing w:after="160"/>
      </w:pPr>
      <w:r>
        <w:rPr>
          <w:rFonts w:ascii="Calibri" w:hAnsi="Calibri" w:eastAsia="Calibri"/>
          <w:b w:val="0"/>
          <w:i w:val="0"/>
          <w:color w:val="4A4A4A"/>
          <w:sz w:val="26"/>
        </w:rPr>
        <w:t>A short guide for firms who send us business energy cases</w:t>
      </w:r>
    </w:p>
    <w:p>
      <w:pPr>
        <w:spacing w:after="160"/>
      </w:pPr>
      <w:r>
        <w:rPr>
          <w:rFonts w:ascii="Calibri" w:hAnsi="Calibri" w:eastAsia="Calibri"/>
          <w:b w:val="0"/>
          <w:i w:val="0"/>
          <w:color w:val="1A1A1A"/>
          <w:sz w:val="22"/>
        </w:rPr>
        <w:t>Thank you for considering a case with us. This note is so we can work quickly and fairly together. It is not a contract. It is a clear list of what we need so we can look at a file properly, and so you know what to gather before you send it.</w:t>
      </w:r>
    </w:p>
    <w:p>
      <w:pPr>
        <w:pStyle w:val="Heading1"/>
      </w:pPr>
      <w:r>
        <w:rPr>
          <w:rFonts w:ascii="Calibri" w:hAnsi="Calibri"/>
          <w:color w:val="7A1F2B"/>
        </w:rPr>
        <w:t>What we are trying to do</w:t>
      </w:r>
    </w:p>
    <w:p>
      <w:pPr>
        <w:spacing w:after="160"/>
      </w:pPr>
      <w:r>
        <w:rPr>
          <w:rFonts w:ascii="Calibri" w:hAnsi="Calibri" w:eastAsia="Calibri"/>
          <w:b w:val="0"/>
          <w:i w:val="0"/>
          <w:color w:val="1A1A1A"/>
          <w:sz w:val="22"/>
        </w:rPr>
        <w:t>We look at whether a business may have a claim arising from its energy contract — for example where a broker arranged the supply and commission was not clearly set out, or where the rate paid may be compared with an evidenced fair cost.</w:t>
      </w:r>
    </w:p>
    <w:p>
      <w:pPr>
        <w:spacing w:after="160"/>
      </w:pPr>
      <w:r>
        <w:rPr>
          <w:rFonts w:ascii="Calibri" w:hAnsi="Calibri" w:eastAsia="Calibri"/>
          <w:b w:val="0"/>
          <w:i w:val="0"/>
          <w:color w:val="1A1A1A"/>
          <w:sz w:val="22"/>
        </w:rPr>
        <w:t>To do that we need the papers that actually record the deal and the bills. We do not fill gaps with estimates. If something is missing, we will say so and ask for it. That protects you, the client, and the file.</w:t>
      </w:r>
    </w:p>
    <w:p>
      <w:pPr>
        <w:pStyle w:val="Heading1"/>
      </w:pPr>
      <w:r>
        <w:rPr>
          <w:rFonts w:ascii="Calibri" w:hAnsi="Calibri"/>
          <w:color w:val="7A1F2B"/>
        </w:rPr>
        <w:t>What to send with each case</w:t>
      </w:r>
    </w:p>
    <w:p>
      <w:pPr>
        <w:spacing w:after="160"/>
      </w:pPr>
      <w:r>
        <w:rPr>
          <w:rFonts w:ascii="Calibri" w:hAnsi="Calibri" w:eastAsia="Calibri"/>
          <w:b w:val="0"/>
          <w:i w:val="0"/>
          <w:color w:val="1A1A1A"/>
          <w:sz w:val="22"/>
        </w:rPr>
        <w:t>Please send one folder (or one zip) per business, named with the company and the supplier if you can. Please do not mix two clients in the same folder.</w:t>
      </w:r>
    </w:p>
    <w:tbl>
      <w:tblPr>
        <w:tblStyle w:val="TableGrid"/>
        <w:tblW w:type="auto" w:w="0"/>
        <w:jc w:val="center"/>
        <w:tblLook w:firstColumn="1" w:firstRow="1" w:lastColumn="0" w:lastRow="0" w:noHBand="0" w:noVBand="1" w:val="04A0"/>
      </w:tblPr>
      <w:tblGrid>
        <w:gridCol w:w="3362"/>
        <w:gridCol w:w="3362"/>
        <w:gridCol w:w="3362"/>
      </w:tblGrid>
      <w:tr>
        <w:tc>
          <w:tcPr>
            <w:tcW w:type="dxa" w:w="3362"/>
            <w:shd w:fill="7A1F2B" w:val="clear"/>
          </w:tcPr>
          <w:p>
            <w:pPr>
              <w:spacing w:after="40" w:before="40"/>
            </w:pPr>
            <w:r/>
            <w:r>
              <w:rPr>
                <w:rFonts w:ascii="Calibri" w:hAnsi="Calibri" w:eastAsia="Calibri"/>
                <w:b/>
                <w:color w:val="FFFFFF"/>
                <w:sz w:val="20"/>
              </w:rPr>
              <w:t>Please send</w:t>
            </w:r>
          </w:p>
        </w:tc>
        <w:tc>
          <w:tcPr>
            <w:tcW w:type="dxa" w:w="3362"/>
            <w:shd w:fill="7A1F2B" w:val="clear"/>
          </w:tcPr>
          <w:p>
            <w:pPr>
              <w:spacing w:after="40" w:before="40"/>
            </w:pPr>
            <w:r/>
            <w:r>
              <w:rPr>
                <w:rFonts w:ascii="Calibri" w:hAnsi="Calibri" w:eastAsia="Calibri"/>
                <w:b/>
                <w:color w:val="FFFFFF"/>
                <w:sz w:val="20"/>
              </w:rPr>
              <w:t>How important</w:t>
            </w:r>
          </w:p>
        </w:tc>
        <w:tc>
          <w:tcPr>
            <w:tcW w:type="dxa" w:w="3362"/>
            <w:shd w:fill="7A1F2B" w:val="clear"/>
          </w:tcPr>
          <w:p>
            <w:pPr>
              <w:spacing w:after="40" w:before="40"/>
            </w:pPr>
            <w:r/>
            <w:r>
              <w:rPr>
                <w:rFonts w:ascii="Calibri" w:hAnsi="Calibri" w:eastAsia="Calibri"/>
                <w:b/>
                <w:color w:val="FFFFFF"/>
                <w:sz w:val="20"/>
              </w:rPr>
              <w:t>Why we ask for it</w:t>
            </w:r>
          </w:p>
        </w:tc>
      </w:tr>
      <w:tr>
        <w:tc>
          <w:tcPr>
            <w:tcW w:type="dxa" w:w="3362"/>
            <w:shd w:fill="FFFFFF" w:val="clear"/>
          </w:tcPr>
          <w:p>
            <w:pPr>
              <w:spacing w:after="40" w:before="40"/>
            </w:pPr>
            <w:r/>
            <w:r>
              <w:rPr>
                <w:rFonts w:ascii="Calibri" w:hAnsi="Calibri" w:eastAsia="Calibri"/>
                <w:b w:val="0"/>
                <w:color w:val="1A1A1A"/>
                <w:sz w:val="18"/>
              </w:rPr>
              <w:t>The signed energy contract, or the welcome / award letter that sets out the rates and dates</w:t>
            </w:r>
          </w:p>
        </w:tc>
        <w:tc>
          <w:tcPr>
            <w:tcW w:type="dxa" w:w="3362"/>
            <w:shd w:fill="FFFFFF" w:val="clear"/>
          </w:tcPr>
          <w:p>
            <w:pPr>
              <w:spacing w:after="40" w:before="40"/>
            </w:pPr>
            <w:r/>
            <w:r>
              <w:rPr>
                <w:rFonts w:ascii="Calibri" w:hAnsi="Calibri" w:eastAsia="Calibri"/>
                <w:b w:val="0"/>
                <w:color w:val="1A1A1A"/>
                <w:sz w:val="18"/>
              </w:rPr>
              <w:t>We need this</w:t>
            </w:r>
          </w:p>
        </w:tc>
        <w:tc>
          <w:tcPr>
            <w:tcW w:type="dxa" w:w="3362"/>
            <w:shd w:fill="FFFFFF" w:val="clear"/>
          </w:tcPr>
          <w:p>
            <w:pPr>
              <w:spacing w:after="40" w:before="40"/>
            </w:pPr>
            <w:r/>
            <w:r>
              <w:rPr>
                <w:rFonts w:ascii="Calibri" w:hAnsi="Calibri" w:eastAsia="Calibri"/>
                <w:b w:val="0"/>
                <w:color w:val="1A1A1A"/>
                <w:sz w:val="18"/>
              </w:rPr>
              <w:t>This is the deal. It tells us who the parties are, when supply starts and ends, the unit rates, the standing charge, and the estimated annual use.</w:t>
            </w:r>
          </w:p>
        </w:tc>
      </w:tr>
      <w:tr>
        <w:tc>
          <w:tcPr>
            <w:tcW w:type="dxa" w:w="3362"/>
            <w:shd w:fill="F7F2F3" w:val="clear"/>
          </w:tcPr>
          <w:p>
            <w:pPr>
              <w:spacing w:after="40" w:before="40"/>
            </w:pPr>
            <w:r/>
            <w:r>
              <w:rPr>
                <w:rFonts w:ascii="Calibri" w:hAnsi="Calibri" w:eastAsia="Calibri"/>
                <w:b w:val="0"/>
                <w:color w:val="1A1A1A"/>
                <w:sz w:val="18"/>
              </w:rPr>
              <w:t>The bills for the period you want us to look at</w:t>
            </w:r>
          </w:p>
        </w:tc>
        <w:tc>
          <w:tcPr>
            <w:tcW w:type="dxa" w:w="3362"/>
            <w:shd w:fill="F7F2F3" w:val="clear"/>
          </w:tcPr>
          <w:p>
            <w:pPr>
              <w:spacing w:after="40" w:before="40"/>
            </w:pPr>
            <w:r/>
            <w:r>
              <w:rPr>
                <w:rFonts w:ascii="Calibri" w:hAnsi="Calibri" w:eastAsia="Calibri"/>
                <w:b w:val="0"/>
                <w:color w:val="1A1A1A"/>
                <w:sz w:val="18"/>
              </w:rPr>
              <w:t>We need these if you want a figure based on what was actually used</w:t>
            </w:r>
          </w:p>
        </w:tc>
        <w:tc>
          <w:tcPr>
            <w:tcW w:type="dxa" w:w="3362"/>
            <w:shd w:fill="F7F2F3" w:val="clear"/>
          </w:tcPr>
          <w:p>
            <w:pPr>
              <w:spacing w:after="40" w:before="40"/>
            </w:pPr>
            <w:r/>
            <w:r>
              <w:rPr>
                <w:rFonts w:ascii="Calibri" w:hAnsi="Calibri" w:eastAsia="Calibri"/>
                <w:b w:val="0"/>
                <w:color w:val="1A1A1A"/>
                <w:sz w:val="18"/>
              </w:rPr>
              <w:t>Bills show units used, what was charged, and the invoice date. We use the invoice date if interest is later applied.</w:t>
            </w:r>
          </w:p>
        </w:tc>
      </w:tr>
      <w:tr>
        <w:tc>
          <w:tcPr>
            <w:tcW w:type="dxa" w:w="3362"/>
            <w:shd w:fill="FFFFFF" w:val="clear"/>
          </w:tcPr>
          <w:p>
            <w:pPr>
              <w:spacing w:after="40" w:before="40"/>
            </w:pPr>
            <w:r/>
            <w:r>
              <w:rPr>
                <w:rFonts w:ascii="Calibri" w:hAnsi="Calibri" w:eastAsia="Calibri"/>
                <w:b w:val="0"/>
                <w:color w:val="1A1A1A"/>
                <w:sz w:val="18"/>
              </w:rPr>
              <w:t>Any letter of authority the client signed for a broker or consultant</w:t>
            </w:r>
          </w:p>
        </w:tc>
        <w:tc>
          <w:tcPr>
            <w:tcW w:type="dxa" w:w="3362"/>
            <w:shd w:fill="FFFFFF" w:val="clear"/>
          </w:tcPr>
          <w:p>
            <w:pPr>
              <w:spacing w:after="40" w:before="40"/>
            </w:pPr>
            <w:r/>
            <w:r>
              <w:rPr>
                <w:rFonts w:ascii="Calibri" w:hAnsi="Calibri" w:eastAsia="Calibri"/>
                <w:b w:val="0"/>
                <w:color w:val="1A1A1A"/>
                <w:sz w:val="18"/>
              </w:rPr>
              <w:t>Please send this if a broker was involved</w:t>
            </w:r>
          </w:p>
        </w:tc>
        <w:tc>
          <w:tcPr>
            <w:tcW w:type="dxa" w:w="3362"/>
            <w:shd w:fill="FFFFFF" w:val="clear"/>
          </w:tcPr>
          <w:p>
            <w:pPr>
              <w:spacing w:after="40" w:before="40"/>
            </w:pPr>
            <w:r/>
            <w:r>
              <w:rPr>
                <w:rFonts w:ascii="Calibri" w:hAnsi="Calibri" w:eastAsia="Calibri"/>
                <w:b w:val="0"/>
                <w:color w:val="1A1A1A"/>
                <w:sz w:val="18"/>
              </w:rPr>
              <w:t>It shows who was allowed to speak to the supplier, and when.</w:t>
            </w:r>
          </w:p>
        </w:tc>
      </w:tr>
      <w:tr>
        <w:tc>
          <w:tcPr>
            <w:tcW w:type="dxa" w:w="3362"/>
            <w:shd w:fill="F7F2F3" w:val="clear"/>
          </w:tcPr>
          <w:p>
            <w:pPr>
              <w:spacing w:after="40" w:before="40"/>
            </w:pPr>
            <w:r/>
            <w:r>
              <w:rPr>
                <w:rFonts w:ascii="Calibri" w:hAnsi="Calibri" w:eastAsia="Calibri"/>
                <w:b w:val="0"/>
                <w:color w:val="1A1A1A"/>
                <w:sz w:val="18"/>
              </w:rPr>
              <w:t>Any quote, proposal or renewal email from the broker</w:t>
            </w:r>
          </w:p>
        </w:tc>
        <w:tc>
          <w:tcPr>
            <w:tcW w:type="dxa" w:w="3362"/>
            <w:shd w:fill="F7F2F3" w:val="clear"/>
          </w:tcPr>
          <w:p>
            <w:pPr>
              <w:spacing w:after="40" w:before="40"/>
            </w:pPr>
            <w:r/>
            <w:r>
              <w:rPr>
                <w:rFonts w:ascii="Calibri" w:hAnsi="Calibri" w:eastAsia="Calibri"/>
                <w:b w:val="0"/>
                <w:color w:val="1A1A1A"/>
                <w:sz w:val="18"/>
              </w:rPr>
              <w:t>Please send if you have it</w:t>
            </w:r>
          </w:p>
        </w:tc>
        <w:tc>
          <w:tcPr>
            <w:tcW w:type="dxa" w:w="3362"/>
            <w:shd w:fill="F7F2F3" w:val="clear"/>
          </w:tcPr>
          <w:p>
            <w:pPr>
              <w:spacing w:after="40" w:before="40"/>
            </w:pPr>
            <w:r/>
            <w:r>
              <w:rPr>
                <w:rFonts w:ascii="Calibri" w:hAnsi="Calibri" w:eastAsia="Calibri"/>
                <w:b w:val="0"/>
                <w:color w:val="1A1A1A"/>
                <w:sz w:val="18"/>
              </w:rPr>
              <w:t>It often shows how the deal was presented, and whether commission or “paid by the supplier” is mentioned.</w:t>
            </w:r>
          </w:p>
        </w:tc>
      </w:tr>
      <w:tr>
        <w:tc>
          <w:tcPr>
            <w:tcW w:type="dxa" w:w="3362"/>
            <w:shd w:fill="FFFFFF" w:val="clear"/>
          </w:tcPr>
          <w:p>
            <w:pPr>
              <w:spacing w:after="40" w:before="40"/>
            </w:pPr>
            <w:r/>
            <w:r>
              <w:rPr>
                <w:rFonts w:ascii="Calibri" w:hAnsi="Calibri" w:eastAsia="Calibri"/>
                <w:b w:val="0"/>
                <w:color w:val="1A1A1A"/>
                <w:sz w:val="18"/>
              </w:rPr>
              <w:t>The supplier’s terms, if you have a copy</w:t>
            </w:r>
          </w:p>
        </w:tc>
        <w:tc>
          <w:tcPr>
            <w:tcW w:type="dxa" w:w="3362"/>
            <w:shd w:fill="FFFFFF" w:val="clear"/>
          </w:tcPr>
          <w:p>
            <w:pPr>
              <w:spacing w:after="40" w:before="40"/>
            </w:pPr>
            <w:r/>
            <w:r>
              <w:rPr>
                <w:rFonts w:ascii="Calibri" w:hAnsi="Calibri" w:eastAsia="Calibri"/>
                <w:b w:val="0"/>
                <w:color w:val="1A1A1A"/>
                <w:sz w:val="18"/>
              </w:rPr>
              <w:t>Helpful</w:t>
            </w:r>
          </w:p>
        </w:tc>
        <w:tc>
          <w:tcPr>
            <w:tcW w:type="dxa" w:w="3362"/>
            <w:shd w:fill="FFFFFF" w:val="clear"/>
          </w:tcPr>
          <w:p>
            <w:pPr>
              <w:spacing w:after="40" w:before="40"/>
            </w:pPr>
            <w:r/>
            <w:r>
              <w:rPr>
                <w:rFonts w:ascii="Calibri" w:hAnsi="Calibri" w:eastAsia="Calibri"/>
                <w:b w:val="0"/>
                <w:color w:val="1A1A1A"/>
                <w:sz w:val="18"/>
              </w:rPr>
              <w:t>Useful for dates, termination and charging wording. It does not replace the signed rates.</w:t>
            </w:r>
          </w:p>
        </w:tc>
      </w:tr>
      <w:tr>
        <w:tc>
          <w:tcPr>
            <w:tcW w:type="dxa" w:w="3362"/>
            <w:shd w:fill="F7F2F3" w:val="clear"/>
          </w:tcPr>
          <w:p>
            <w:pPr>
              <w:spacing w:after="40" w:before="40"/>
            </w:pPr>
            <w:r/>
            <w:r>
              <w:rPr>
                <w:rFonts w:ascii="Calibri" w:hAnsi="Calibri" w:eastAsia="Calibri"/>
                <w:b w:val="0"/>
                <w:color w:val="1A1A1A"/>
                <w:sz w:val="18"/>
              </w:rPr>
              <w:t>A short note of the client’s name, site address and supplier</w:t>
            </w:r>
          </w:p>
        </w:tc>
        <w:tc>
          <w:tcPr>
            <w:tcW w:type="dxa" w:w="3362"/>
            <w:shd w:fill="F7F2F3" w:val="clear"/>
          </w:tcPr>
          <w:p>
            <w:pPr>
              <w:spacing w:after="40" w:before="40"/>
            </w:pPr>
            <w:r/>
            <w:r>
              <w:rPr>
                <w:rFonts w:ascii="Calibri" w:hAnsi="Calibri" w:eastAsia="Calibri"/>
                <w:b w:val="0"/>
                <w:color w:val="1A1A1A"/>
                <w:sz w:val="18"/>
              </w:rPr>
              <w:t>We need this</w:t>
            </w:r>
          </w:p>
        </w:tc>
        <w:tc>
          <w:tcPr>
            <w:tcW w:type="dxa" w:w="3362"/>
            <w:shd w:fill="F7F2F3" w:val="clear"/>
          </w:tcPr>
          <w:p>
            <w:pPr>
              <w:spacing w:after="40" w:before="40"/>
            </w:pPr>
            <w:r/>
            <w:r>
              <w:rPr>
                <w:rFonts w:ascii="Calibri" w:hAnsi="Calibri" w:eastAsia="Calibri"/>
                <w:b w:val="0"/>
                <w:color w:val="1A1A1A"/>
                <w:sz w:val="18"/>
              </w:rPr>
              <w:t>So we can match papers to the right business and the right meter.</w:t>
            </w:r>
          </w:p>
        </w:tc>
      </w:tr>
      <w:tr>
        <w:tc>
          <w:tcPr>
            <w:tcW w:type="dxa" w:w="3362"/>
            <w:shd w:fill="FFFFFF" w:val="clear"/>
          </w:tcPr>
          <w:p>
            <w:pPr>
              <w:spacing w:after="40" w:before="40"/>
            </w:pPr>
            <w:r/>
            <w:r>
              <w:rPr>
                <w:rFonts w:ascii="Calibri" w:hAnsi="Calibri" w:eastAsia="Calibri"/>
                <w:b w:val="0"/>
                <w:color w:val="1A1A1A"/>
                <w:sz w:val="18"/>
              </w:rPr>
              <w:t>Any earlier report or opinion already obtained</w:t>
            </w:r>
          </w:p>
        </w:tc>
        <w:tc>
          <w:tcPr>
            <w:tcW w:type="dxa" w:w="3362"/>
            <w:shd w:fill="FFFFFF" w:val="clear"/>
          </w:tcPr>
          <w:p>
            <w:pPr>
              <w:spacing w:after="40" w:before="40"/>
            </w:pPr>
            <w:r/>
            <w:r>
              <w:rPr>
                <w:rFonts w:ascii="Calibri" w:hAnsi="Calibri" w:eastAsia="Calibri"/>
                <w:b w:val="0"/>
                <w:color w:val="1A1A1A"/>
                <w:sz w:val="18"/>
              </w:rPr>
              <w:t>Helpful</w:t>
            </w:r>
          </w:p>
        </w:tc>
        <w:tc>
          <w:tcPr>
            <w:tcW w:type="dxa" w:w="3362"/>
            <w:shd w:fill="FFFFFF" w:val="clear"/>
          </w:tcPr>
          <w:p>
            <w:pPr>
              <w:spacing w:after="40" w:before="40"/>
            </w:pPr>
            <w:r/>
            <w:r>
              <w:rPr>
                <w:rFonts w:ascii="Calibri" w:hAnsi="Calibri" w:eastAsia="Calibri"/>
                <w:b w:val="0"/>
                <w:color w:val="1A1A1A"/>
                <w:sz w:val="18"/>
              </w:rPr>
              <w:t>We will treat it as background. We will not copy its percentages unless you ask us to in writing.</w:t>
            </w:r>
          </w:p>
        </w:tc>
      </w:tr>
    </w:tbl>
    <w:p/>
    <w:p>
      <w:pPr>
        <w:pStyle w:val="Heading1"/>
      </w:pPr>
      <w:r>
        <w:rPr>
          <w:rFonts w:ascii="Calibri" w:hAnsi="Calibri"/>
          <w:color w:val="7A1F2B"/>
        </w:rPr>
        <w:t>What we do not need in the energy folder</w:t>
      </w:r>
    </w:p>
    <w:p>
      <w:pPr>
        <w:spacing w:after="160"/>
      </w:pPr>
      <w:r>
        <w:rPr>
          <w:rFonts w:ascii="Calibri" w:hAnsi="Calibri" w:eastAsia="Calibri"/>
          <w:b w:val="0"/>
          <w:i w:val="0"/>
          <w:color w:val="1A1A1A"/>
          <w:sz w:val="22"/>
        </w:rPr>
        <w:t>Please keep these out of the energy case folder. If they arrive by mistake we will set them aside and tell you.</w:t>
      </w:r>
    </w:p>
    <w:p>
      <w:pPr>
        <w:pStyle w:val="ListBullet"/>
        <w:spacing w:after="60"/>
      </w:pPr>
      <w:r>
        <w:rPr>
          <w:rFonts w:ascii="Calibri" w:hAnsi="Calibri" w:eastAsia="Calibri"/>
          <w:b w:val="0"/>
          <w:color w:val="1A1A1A"/>
          <w:sz w:val="22"/>
        </w:rPr>
        <w:t>Mortgage papers, subject-access packs, passports or bank statements from another type of claim.</w:t>
      </w:r>
    </w:p>
    <w:p>
      <w:pPr>
        <w:pStyle w:val="ListBullet"/>
        <w:spacing w:after="60"/>
      </w:pPr>
      <w:r>
        <w:rPr>
          <w:rFonts w:ascii="Calibri" w:hAnsi="Calibri" w:eastAsia="Calibri"/>
          <w:b w:val="0"/>
          <w:color w:val="1A1A1A"/>
          <w:sz w:val="22"/>
        </w:rPr>
        <w:t>Papers for a different company or a different site, unless you have labelled them as a separate case.</w:t>
      </w:r>
    </w:p>
    <w:p>
      <w:pPr>
        <w:pStyle w:val="ListBullet"/>
        <w:spacing w:after="60"/>
      </w:pPr>
      <w:r>
        <w:rPr>
          <w:rFonts w:ascii="Calibri" w:hAnsi="Calibri" w:eastAsia="Calibri"/>
          <w:b w:val="0"/>
          <w:color w:val="1A1A1A"/>
          <w:sz w:val="22"/>
        </w:rPr>
        <w:t>Mac “._” companion files. These are not the real documents. Please send the PDF or Word file itself.</w:t>
      </w:r>
    </w:p>
    <w:p>
      <w:pPr>
        <w:pStyle w:val="Heading1"/>
      </w:pPr>
      <w:r>
        <w:rPr>
          <w:rFonts w:ascii="Calibri" w:hAnsi="Calibri"/>
          <w:color w:val="7A1F2B"/>
        </w:rPr>
        <w:t>How we treat missing information</w:t>
      </w:r>
    </w:p>
    <w:p>
      <w:pPr>
        <w:spacing w:after="160"/>
      </w:pPr>
      <w:r>
        <w:rPr>
          <w:rFonts w:ascii="Calibri" w:hAnsi="Calibri" w:eastAsia="Calibri"/>
          <w:b w:val="0"/>
          <w:i w:val="0"/>
          <w:color w:val="1A1A1A"/>
          <w:sz w:val="22"/>
        </w:rPr>
        <w:t>If a rate, a date, a meter number or a commission figure is not on the papers, we leave it blank and tell you what is needed. We do not guess.</w:t>
      </w:r>
    </w:p>
    <w:p>
      <w:pPr>
        <w:spacing w:after="160"/>
      </w:pPr>
      <w:r>
        <w:rPr>
          <w:rFonts w:ascii="Calibri" w:hAnsi="Calibri" w:eastAsia="Calibri"/>
          <w:b w:val="0"/>
          <w:i w:val="0"/>
          <w:color w:val="1A1A1A"/>
          <w:sz w:val="22"/>
        </w:rPr>
        <w:t>If you or the instructing solicitor want us to use a stated commission percentage, a stated interest rate, or a stated comparator rate, please send a short written note with:</w:t>
      </w:r>
    </w:p>
    <w:p>
      <w:pPr>
        <w:pStyle w:val="ListBullet"/>
        <w:spacing w:after="60"/>
      </w:pPr>
      <w:r>
        <w:rPr>
          <w:rFonts w:ascii="Calibri" w:hAnsi="Calibri" w:eastAsia="Calibri"/>
          <w:b w:val="0"/>
          <w:color w:val="1A1A1A"/>
          <w:sz w:val="22"/>
        </w:rPr>
        <w:t>the figure</w:t>
      </w:r>
    </w:p>
    <w:p>
      <w:pPr>
        <w:pStyle w:val="ListBullet"/>
        <w:spacing w:after="60"/>
      </w:pPr>
      <w:r>
        <w:rPr>
          <w:rFonts w:ascii="Calibri" w:hAnsi="Calibri" w:eastAsia="Calibri"/>
          <w:b w:val="0"/>
          <w:color w:val="1A1A1A"/>
          <w:sz w:val="22"/>
        </w:rPr>
        <w:t>what it applies to (commission, interest, or comparator)</w:t>
      </w:r>
    </w:p>
    <w:p>
      <w:pPr>
        <w:pStyle w:val="ListBullet"/>
        <w:spacing w:after="60"/>
      </w:pPr>
      <w:r>
        <w:rPr>
          <w:rFonts w:ascii="Calibri" w:hAnsi="Calibri" w:eastAsia="Calibri"/>
          <w:b w:val="0"/>
          <w:color w:val="1A1A1A"/>
          <w:sz w:val="22"/>
        </w:rPr>
        <w:t>the case name</w:t>
      </w:r>
    </w:p>
    <w:p>
      <w:pPr>
        <w:pStyle w:val="ListBullet"/>
        <w:spacing w:after="60"/>
      </w:pPr>
      <w:r>
        <w:rPr>
          <w:rFonts w:ascii="Calibri" w:hAnsi="Calibri" w:eastAsia="Calibri"/>
          <w:b w:val="0"/>
          <w:color w:val="1A1A1A"/>
          <w:sz w:val="22"/>
        </w:rPr>
        <w:t>the date of the note</w:t>
      </w:r>
    </w:p>
    <w:p>
      <w:pPr>
        <w:spacing w:after="160"/>
      </w:pPr>
      <w:r>
        <w:rPr>
          <w:rFonts w:ascii="Calibri" w:hAnsi="Calibri" w:eastAsia="Calibri"/>
          <w:b w:val="0"/>
          <w:i w:val="0"/>
          <w:color w:val="1A1A1A"/>
          <w:sz w:val="22"/>
        </w:rPr>
        <w:t>We will record that note next to the figure. If the note is not there, the figure stays blank.</w:t>
      </w:r>
    </w:p>
    <w:p>
      <w:pPr>
        <w:pStyle w:val="Heading1"/>
      </w:pPr>
      <w:r>
        <w:rPr>
          <w:rFonts w:ascii="Calibri" w:hAnsi="Calibri"/>
          <w:color w:val="7A1F2B"/>
        </w:rPr>
        <w:t>What happens after you send a file</w:t>
      </w:r>
    </w:p>
    <w:p>
      <w:pPr>
        <w:spacing w:after="160"/>
      </w:pPr>
      <w:r>
        <w:rPr>
          <w:rFonts w:ascii="Calibri" w:hAnsi="Calibri" w:eastAsia="Calibri"/>
          <w:b w:val="0"/>
          <w:i w:val="0"/>
          <w:color w:val="1A1A1A"/>
          <w:sz w:val="22"/>
        </w:rPr>
        <w:t>We will tell you, in plain terms:</w:t>
      </w:r>
    </w:p>
    <w:p>
      <w:pPr>
        <w:pStyle w:val="ListBullet"/>
        <w:spacing w:after="60"/>
      </w:pPr>
      <w:r>
        <w:rPr>
          <w:rFonts w:ascii="Calibri" w:hAnsi="Calibri" w:eastAsia="Calibri"/>
          <w:b w:val="0"/>
          <w:color w:val="1A1A1A"/>
          <w:sz w:val="22"/>
        </w:rPr>
        <w:t>what we received</w:t>
      </w:r>
    </w:p>
    <w:p>
      <w:pPr>
        <w:pStyle w:val="ListBullet"/>
        <w:spacing w:after="60"/>
      </w:pPr>
      <w:r>
        <w:rPr>
          <w:rFonts w:ascii="Calibri" w:hAnsi="Calibri" w:eastAsia="Calibri"/>
          <w:b w:val="0"/>
          <w:color w:val="1A1A1A"/>
          <w:sz w:val="22"/>
        </w:rPr>
        <w:t>what is still needed</w:t>
      </w:r>
    </w:p>
    <w:p>
      <w:pPr>
        <w:pStyle w:val="ListBullet"/>
        <w:spacing w:after="60"/>
      </w:pPr>
      <w:r>
        <w:rPr>
          <w:rFonts w:ascii="Calibri" w:hAnsi="Calibri" w:eastAsia="Calibri"/>
          <w:b w:val="0"/>
          <w:color w:val="1A1A1A"/>
          <w:sz w:val="22"/>
        </w:rPr>
        <w:t>whether the file is ready to be looked at for a figure</w:t>
      </w:r>
    </w:p>
    <w:p>
      <w:pPr>
        <w:spacing w:after="160"/>
      </w:pPr>
      <w:r>
        <w:rPr>
          <w:rFonts w:ascii="Calibri" w:hAnsi="Calibri" w:eastAsia="Calibri"/>
          <w:b w:val="0"/>
          <w:i w:val="0"/>
          <w:color w:val="1A1A1A"/>
          <w:sz w:val="22"/>
        </w:rPr>
        <w:t>Files that are not yet complete are not refused forever. They are paused until the missing paper arrives. That is so we can take on a high volume of introductions without taking on files we cannot finish.</w:t>
      </w:r>
    </w:p>
    <w:p>
      <w:pPr>
        <w:pStyle w:val="Heading1"/>
      </w:pPr>
      <w:r>
        <w:rPr>
          <w:rFonts w:ascii="Calibri" w:hAnsi="Calibri"/>
          <w:color w:val="7A1F2B"/>
        </w:rPr>
        <w:t>A note on time</w:t>
      </w:r>
    </w:p>
    <w:p>
      <w:pPr>
        <w:spacing w:after="160"/>
      </w:pPr>
      <w:r>
        <w:rPr>
          <w:rFonts w:ascii="Calibri" w:hAnsi="Calibri" w:eastAsia="Calibri"/>
          <w:b w:val="0"/>
          <w:i w:val="0"/>
          <w:color w:val="1A1A1A"/>
          <w:sz w:val="22"/>
        </w:rPr>
        <w:t>If the folder has a contract and a clear set of bills, a first look is usually measured in minutes, not hours. If the folder is incomplete, the first look is still short: we will say what is missing rather than wait.</w:t>
      </w:r>
    </w:p>
    <w:p>
      <w:pPr>
        <w:pStyle w:val="Heading1"/>
      </w:pPr>
      <w:r>
        <w:rPr>
          <w:rFonts w:ascii="Calibri" w:hAnsi="Calibri"/>
          <w:color w:val="7A1F2B"/>
        </w:rPr>
        <w:t>How to send</w:t>
      </w:r>
    </w:p>
    <w:p>
      <w:pPr>
        <w:spacing w:after="160"/>
      </w:pPr>
      <w:r>
        <w:rPr>
          <w:rFonts w:ascii="Calibri" w:hAnsi="Calibri" w:eastAsia="Calibri"/>
          <w:b w:val="0"/>
          <w:i w:val="0"/>
          <w:color w:val="1A1A1A"/>
          <w:sz w:val="22"/>
        </w:rPr>
        <w:t>One business, one folder or one zip. Please include the company name and the supplier in the folder name if you can. PDFs and Word files are fine. Please send the real files, not the small ._ copies that sometimes appear on a Mac.</w:t>
      </w:r>
    </w:p>
    <w:p>
      <w:pPr>
        <w:spacing w:after="160"/>
      </w:pPr>
      <w:r>
        <w:rPr>
          <w:rFonts w:ascii="Calibri" w:hAnsi="Calibri" w:eastAsia="Calibri"/>
          <w:b w:val="0"/>
          <w:i/>
          <w:color w:val="1A1A1A"/>
          <w:sz w:val="22"/>
        </w:rPr>
        <w:t>Thank you. Clear papers let us give you a clear answer.</w:t>
      </w:r>
    </w:p>
    <w:sectPr w:rsidR="00FC693F" w:rsidRPr="0006063C" w:rsidSect="00034616">
      <w:headerReference w:type="default" r:id="rId9"/>
      <w:footerReference w:type="default" r:id="rId10"/>
      <w:pgSz w:w="12240" w:h="15840"/>
      <w:pgMar w:top="1077" w:right="1077" w:bottom="107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rFonts w:ascii="Calibri" w:hAnsi="Calibri" w:eastAsia="Calibri"/>
        <w:b w:val="0"/>
        <w:color w:val="4A4A4A"/>
        <w:sz w:val="16"/>
      </w:rPr>
      <w:t>For lead providers  ·  What we need  ·  Please keep this with the case file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left"/>
    </w:pPr>
    <w:r/>
    <w:r>
      <w:drawing>
        <wp:inline xmlns:a="http://schemas.openxmlformats.org/drawingml/2006/main" xmlns:pic="http://schemas.openxmlformats.org/drawingml/2006/picture">
          <wp:extent cx="335101" cy="502920"/>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335101" cy="502920"/>
                  </a:xfrm>
                  <a:prstGeom prst="rect"/>
                </pic:spPr>
              </pic:pic>
            </a:graphicData>
          </a:graphic>
        </wp:inline>
      </w:drawing>
    </w:r>
    <w:r>
      <w:rPr>
        <w:rFonts w:ascii="Calibri" w:hAnsi="Calibri" w:eastAsia="Calibri"/>
        <w:b/>
        <w:color w:val="7A1F2B"/>
        <w:sz w:val="18"/>
      </w:rPr>
      <w:t xml:space="preserve">    CRIMSON HORSE</w:t>
    </w:r>
  </w:p>
  <w:p>
    <w:pPr>
      <w:pStyle w:val="Header"/>
      <w:jc w:val="right"/>
    </w:pPr>
    <w:r>
      <w:rPr>
        <w:rFonts w:ascii="Calibri" w:hAnsi="Calibri" w:eastAsia="Calibri"/>
        <w:b/>
        <w:color w:val="7A1F2B"/>
        <w:sz w:val="18"/>
      </w:rPr>
      <w:t>CRIMSON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