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Calibri" w:hAnsi="Calibri" w:eastAsia="Calibri"/>
          <w:b/>
          <w:i w:val="0"/>
          <w:color w:val="7A1F2B"/>
          <w:sz w:val="24"/>
        </w:rPr>
        <w:t>CRIMSON HORSE</w:t>
      </w:r>
    </w:p>
    <w:p>
      <w:r>
        <w:rPr>
          <w:rFonts w:ascii="Calibri" w:hAnsi="Calibri" w:eastAsia="Calibri"/>
          <w:b/>
          <w:i w:val="0"/>
          <w:color w:val="7A1F2B"/>
          <w:sz w:val="44"/>
        </w:rPr>
        <w:t>Wood method quantum note — Mersenne fill</w:t>
      </w:r>
    </w:p>
    <w:p>
      <w:r>
        <w:rPr>
          <w:rFonts w:ascii="Calibri" w:hAnsi="Calibri" w:eastAsia="Calibri"/>
          <w:b w:val="0"/>
          <w:i w:val="0"/>
          <w:color w:val="4A4A4A"/>
          <w:sz w:val="24"/>
        </w:rPr>
        <w:t>Centurion Blast Cleaning Limited and Engie Power Limited. Empty cells filled only from the Mersenne figures as written in the 1 June 2026 opinion.</w:t>
      </w:r>
    </w:p>
    <w:p>
      <w:pPr>
        <w:spacing w:after="160"/>
      </w:pPr>
      <w:r>
        <w:rPr>
          <w:rFonts w:ascii="Calibri" w:hAnsi="Calibri" w:eastAsia="Calibri"/>
          <w:b w:val="0"/>
          <w:i w:val="0"/>
          <w:color w:val="1A1A1A"/>
          <w:sz w:val="22"/>
        </w:rPr>
        <w:t>You asked for the empty cells to be filled from the Mersenne data. The Mersenne workbook itself is not in this pack. What follows uses only the method and the two totals that Christopher Snell and Nick James recorded from that report (KWS.012, 20 May 2026). This note does not advise whether a claim should be brought. It is not an expert report. It does not re-work Mersenne’s arithmetic.</w:t>
      </w:r>
    </w:p>
    <w:p>
      <w:pPr>
        <w:pStyle w:val="Heading1"/>
      </w:pPr>
      <w:r>
        <w:rPr>
          <w:rFonts w:ascii="Calibri" w:hAnsi="Calibri"/>
          <w:color w:val="7A1F2B"/>
        </w:rPr>
        <w:t>1. The method</w:t>
      </w:r>
    </w:p>
    <w:p>
      <w:pPr>
        <w:spacing w:after="160"/>
      </w:pPr>
      <w:r>
        <w:rPr>
          <w:rFonts w:ascii="Calibri" w:hAnsi="Calibri" w:eastAsia="Calibri"/>
          <w:b/>
          <w:i w:val="0"/>
          <w:color w:val="1A1A1A"/>
          <w:sz w:val="22"/>
        </w:rPr>
        <w:t>Amount  =  (A + B)  −  (C + D + E)</w:t>
      </w:r>
    </w:p>
    <w:tbl>
      <w:tblPr>
        <w:tblStyle w:val="TableGrid"/>
        <w:tblW w:type="auto" w:w="0"/>
        <w:tblLook w:firstColumn="1" w:firstRow="1" w:lastColumn="0" w:lastRow="0" w:noHBand="0" w:noVBand="1" w:val="04A0"/>
      </w:tblPr>
      <w:tblGrid>
        <w:gridCol w:w="5043"/>
        <w:gridCol w:w="5043"/>
      </w:tblGrid>
      <w:tr>
        <w:tc>
          <w:tcPr>
            <w:tcW w:type="dxa" w:w="5043"/>
            <w:shd w:fill="7A1F2B" w:val="clear"/>
          </w:tcPr>
          <w:p>
            <w:pPr>
              <w:spacing w:after="40" w:before="40"/>
            </w:pPr>
            <w:r/>
            <w:r>
              <w:rPr>
                <w:rFonts w:ascii="Calibri" w:hAnsi="Calibri" w:eastAsia="Calibri"/>
                <w:b/>
                <w:i w:val="0"/>
                <w:color w:val="FFFFFF"/>
                <w:sz w:val="20"/>
              </w:rPr>
              <w:t>Letter</w:t>
            </w:r>
          </w:p>
        </w:tc>
        <w:tc>
          <w:tcPr>
            <w:tcW w:type="dxa" w:w="5043"/>
            <w:shd w:fill="7A1F2B" w:val="clear"/>
          </w:tcPr>
          <w:p>
            <w:pPr>
              <w:spacing w:after="40" w:before="40"/>
            </w:pPr>
            <w:r/>
            <w:r>
              <w:rPr>
                <w:rFonts w:ascii="Calibri" w:hAnsi="Calibri" w:eastAsia="Calibri"/>
                <w:b/>
                <w:i w:val="0"/>
                <w:color w:val="FFFFFF"/>
                <w:sz w:val="20"/>
              </w:rPr>
              <w:t>Meaning</w:t>
            </w:r>
          </w:p>
        </w:tc>
      </w:tr>
      <w:tr>
        <w:tc>
          <w:tcPr>
            <w:tcW w:type="dxa" w:w="5043"/>
          </w:tcPr>
          <w:p>
            <w:pPr>
              <w:spacing w:after="40" w:before="40"/>
            </w:pPr>
            <w:r/>
            <w:r>
              <w:rPr>
                <w:rFonts w:ascii="Calibri" w:hAnsi="Calibri" w:eastAsia="Calibri"/>
                <w:b w:val="0"/>
                <w:i w:val="0"/>
                <w:color w:val="1A1A1A"/>
                <w:sz w:val="20"/>
              </w:rPr>
              <w:t>A</w:t>
            </w:r>
          </w:p>
        </w:tc>
        <w:tc>
          <w:tcPr>
            <w:tcW w:type="dxa" w:w="5043"/>
          </w:tcPr>
          <w:p>
            <w:pPr>
              <w:spacing w:after="40" w:before="40"/>
            </w:pPr>
            <w:r/>
            <w:r>
              <w:rPr>
                <w:rFonts w:ascii="Calibri" w:hAnsi="Calibri" w:eastAsia="Calibri"/>
                <w:b w:val="0"/>
                <w:i w:val="0"/>
                <w:color w:val="1A1A1A"/>
                <w:sz w:val="20"/>
              </w:rPr>
              <w:t>Total energy spend on the invoices (unit charges, standing charges, other billed sums).</w:t>
            </w:r>
          </w:p>
        </w:tc>
      </w:tr>
      <w:tr>
        <w:tc>
          <w:tcPr>
            <w:tcW w:type="dxa" w:w="5043"/>
            <w:shd w:fill="F4EFE6" w:val="clear"/>
          </w:tcPr>
          <w:p>
            <w:pPr>
              <w:spacing w:after="40" w:before="40"/>
            </w:pPr>
            <w:r/>
            <w:r>
              <w:rPr>
                <w:rFonts w:ascii="Calibri" w:hAnsi="Calibri" w:eastAsia="Calibri"/>
                <w:b w:val="0"/>
                <w:i w:val="0"/>
                <w:color w:val="1A1A1A"/>
                <w:sz w:val="20"/>
              </w:rPr>
              <w:t>B</w:t>
            </w:r>
          </w:p>
        </w:tc>
        <w:tc>
          <w:tcPr>
            <w:tcW w:type="dxa" w:w="5043"/>
            <w:shd w:fill="F4EFE6" w:val="clear"/>
          </w:tcPr>
          <w:p>
            <w:pPr>
              <w:spacing w:after="40" w:before="40"/>
            </w:pPr>
            <w:r/>
            <w:r>
              <w:rPr>
                <w:rFonts w:ascii="Calibri" w:hAnsi="Calibri" w:eastAsia="Calibri"/>
                <w:b w:val="0"/>
                <w:i w:val="0"/>
                <w:color w:val="1A1A1A"/>
                <w:sz w:val="20"/>
              </w:rPr>
              <w:t>Interest on A.</w:t>
            </w:r>
          </w:p>
        </w:tc>
      </w:tr>
      <w:tr>
        <w:tc>
          <w:tcPr>
            <w:tcW w:type="dxa" w:w="5043"/>
          </w:tcPr>
          <w:p>
            <w:pPr>
              <w:spacing w:after="40" w:before="40"/>
            </w:pPr>
            <w:r/>
            <w:r>
              <w:rPr>
                <w:rFonts w:ascii="Calibri" w:hAnsi="Calibri" w:eastAsia="Calibri"/>
                <w:b w:val="0"/>
                <w:i w:val="0"/>
                <w:color w:val="1A1A1A"/>
                <w:sz w:val="20"/>
              </w:rPr>
              <w:t>C</w:t>
            </w:r>
          </w:p>
        </w:tc>
        <w:tc>
          <w:tcPr>
            <w:tcW w:type="dxa" w:w="5043"/>
          </w:tcPr>
          <w:p>
            <w:pPr>
              <w:spacing w:after="40" w:before="40"/>
            </w:pPr>
            <w:r/>
            <w:r>
              <w:rPr>
                <w:rFonts w:ascii="Calibri" w:hAnsi="Calibri" w:eastAsia="Calibri"/>
                <w:b w:val="0"/>
                <w:i w:val="0"/>
                <w:color w:val="1A1A1A"/>
                <w:sz w:val="20"/>
              </w:rPr>
              <w:t>Hedged / purchase cost of the energy supplied.</w:t>
            </w:r>
          </w:p>
        </w:tc>
      </w:tr>
      <w:tr>
        <w:tc>
          <w:tcPr>
            <w:tcW w:type="dxa" w:w="5043"/>
            <w:shd w:fill="F4EFE6" w:val="clear"/>
          </w:tcPr>
          <w:p>
            <w:pPr>
              <w:spacing w:after="40" w:before="40"/>
            </w:pPr>
            <w:r/>
            <w:r>
              <w:rPr>
                <w:rFonts w:ascii="Calibri" w:hAnsi="Calibri" w:eastAsia="Calibri"/>
                <w:b w:val="0"/>
                <w:i w:val="0"/>
                <w:color w:val="1A1A1A"/>
                <w:sz w:val="20"/>
              </w:rPr>
              <w:t>D</w:t>
            </w:r>
          </w:p>
        </w:tc>
        <w:tc>
          <w:tcPr>
            <w:tcW w:type="dxa" w:w="5043"/>
            <w:shd w:fill="F4EFE6" w:val="clear"/>
          </w:tcPr>
          <w:p>
            <w:pPr>
              <w:spacing w:after="40" w:before="40"/>
            </w:pPr>
            <w:r/>
            <w:r>
              <w:rPr>
                <w:rFonts w:ascii="Calibri" w:hAnsi="Calibri" w:eastAsia="Calibri"/>
                <w:b w:val="0"/>
                <w:i w:val="0"/>
                <w:color w:val="1A1A1A"/>
                <w:sz w:val="20"/>
              </w:rPr>
              <w:t>Cost to get that energy to the meter.</w:t>
            </w:r>
          </w:p>
        </w:tc>
      </w:tr>
      <w:tr>
        <w:tc>
          <w:tcPr>
            <w:tcW w:type="dxa" w:w="5043"/>
          </w:tcPr>
          <w:p>
            <w:pPr>
              <w:spacing w:after="40" w:before="40"/>
            </w:pPr>
            <w:r/>
            <w:r>
              <w:rPr>
                <w:rFonts w:ascii="Calibri" w:hAnsi="Calibri" w:eastAsia="Calibri"/>
                <w:b w:val="0"/>
                <w:i w:val="0"/>
                <w:color w:val="1A1A1A"/>
                <w:sz w:val="20"/>
              </w:rPr>
              <w:t>E</w:t>
            </w:r>
          </w:p>
        </w:tc>
        <w:tc>
          <w:tcPr>
            <w:tcW w:type="dxa" w:w="5043"/>
          </w:tcPr>
          <w:p>
            <w:pPr>
              <w:spacing w:after="40" w:before="40"/>
            </w:pPr>
            <w:r/>
            <w:r>
              <w:rPr>
                <w:rFonts w:ascii="Calibri" w:hAnsi="Calibri" w:eastAsia="Calibri"/>
                <w:b w:val="0"/>
                <w:i w:val="0"/>
                <w:color w:val="1A1A1A"/>
                <w:sz w:val="20"/>
              </w:rPr>
              <w:t>Interest on (C + D).</w:t>
            </w:r>
          </w:p>
        </w:tc>
      </w:tr>
    </w:tbl>
    <w:p/>
    <w:p>
      <w:pPr>
        <w:spacing w:after="160"/>
      </w:pPr>
      <w:r>
        <w:rPr>
          <w:rFonts w:ascii="Calibri" w:hAnsi="Calibri" w:eastAsia="Calibri"/>
          <w:b w:val="0"/>
          <w:i w:val="0"/>
          <w:color w:val="1A1A1A"/>
          <w:sz w:val="22"/>
        </w:rPr>
        <w:t>If B and E use the same rate, for the same period, this is the same as interest on (A − C − D) only. Mersenne applied one rate — 8% — to their fair-cost working. On your instruction to use that data, B and E are both taken at 8%. Net interest is therefore 8% on (A − C − D).</w:t>
      </w:r>
    </w:p>
    <w:p>
      <w:pPr>
        <w:pStyle w:val="Heading1"/>
      </w:pPr>
      <w:r>
        <w:rPr>
          <w:rFonts w:ascii="Calibri" w:hAnsi="Calibri"/>
          <w:color w:val="7A1F2B"/>
        </w:rPr>
        <w:t>2. What Mersenne actually gave (as cited)</w:t>
      </w:r>
    </w:p>
    <w:p>
      <w:pPr>
        <w:spacing w:after="160"/>
      </w:pPr>
      <w:r>
        <w:rPr>
          <w:rFonts w:ascii="Calibri" w:hAnsi="Calibri" w:eastAsia="Calibri"/>
          <w:b w:val="0"/>
          <w:i w:val="0"/>
          <w:color w:val="1A1A1A"/>
          <w:sz w:val="22"/>
        </w:rPr>
        <w:t>Source: opinion of 1 June 2026, paragraphs 15 and 38–43. The report file is not attached.</w:t>
      </w:r>
    </w:p>
    <w:tbl>
      <w:tblPr>
        <w:tblStyle w:val="TableGrid"/>
        <w:tblW w:type="auto" w:w="0"/>
        <w:tblLook w:firstColumn="1" w:firstRow="1" w:lastColumn="0" w:lastRow="0" w:noHBand="0" w:noVBand="1" w:val="04A0"/>
      </w:tblPr>
      <w:tblGrid>
        <w:gridCol w:w="5043"/>
        <w:gridCol w:w="5043"/>
      </w:tblGrid>
      <w:tr>
        <w:tc>
          <w:tcPr>
            <w:tcW w:type="dxa" w:w="5043"/>
            <w:shd w:fill="7A1F2B" w:val="clear"/>
          </w:tcPr>
          <w:p>
            <w:pPr>
              <w:spacing w:after="40" w:before="40"/>
            </w:pPr>
            <w:r/>
            <w:r>
              <w:rPr>
                <w:rFonts w:ascii="Calibri" w:hAnsi="Calibri" w:eastAsia="Calibri"/>
                <w:b/>
                <w:i w:val="0"/>
                <w:color w:val="FFFFFF"/>
                <w:sz w:val="20"/>
              </w:rPr>
              <w:t>Mersenne item</w:t>
            </w:r>
          </w:p>
        </w:tc>
        <w:tc>
          <w:tcPr>
            <w:tcW w:type="dxa" w:w="5043"/>
            <w:shd w:fill="7A1F2B" w:val="clear"/>
          </w:tcPr>
          <w:p>
            <w:pPr>
              <w:spacing w:after="40" w:before="40"/>
            </w:pPr>
            <w:r/>
            <w:r>
              <w:rPr>
                <w:rFonts w:ascii="Calibri" w:hAnsi="Calibri" w:eastAsia="Calibri"/>
                <w:b/>
                <w:i w:val="0"/>
                <w:color w:val="FFFFFF"/>
                <w:sz w:val="20"/>
              </w:rPr>
              <w:t>As written in the opinion</w:t>
            </w:r>
          </w:p>
        </w:tc>
      </w:tr>
      <w:tr>
        <w:tc>
          <w:tcPr>
            <w:tcW w:type="dxa" w:w="5043"/>
          </w:tcPr>
          <w:p>
            <w:pPr>
              <w:spacing w:after="40" w:before="40"/>
            </w:pPr>
            <w:r/>
            <w:r>
              <w:rPr>
                <w:rFonts w:ascii="Calibri" w:hAnsi="Calibri" w:eastAsia="Calibri"/>
                <w:b w:val="0"/>
                <w:i w:val="0"/>
                <w:color w:val="1A1A1A"/>
                <w:sz w:val="20"/>
              </w:rPr>
              <w:t>Fair-cost total to supply end date (30 September 2026)</w:t>
            </w:r>
          </w:p>
        </w:tc>
        <w:tc>
          <w:tcPr>
            <w:tcW w:type="dxa" w:w="5043"/>
          </w:tcPr>
          <w:p>
            <w:pPr>
              <w:spacing w:after="40" w:before="40"/>
            </w:pPr>
            <w:r/>
            <w:r>
              <w:rPr>
                <w:rFonts w:ascii="Calibri" w:hAnsi="Calibri" w:eastAsia="Calibri"/>
                <w:b w:val="0"/>
                <w:i w:val="0"/>
                <w:color w:val="1A1A1A"/>
                <w:sz w:val="20"/>
              </w:rPr>
              <w:t>£82,419.25</w:t>
            </w:r>
          </w:p>
        </w:tc>
      </w:tr>
      <w:tr>
        <w:tc>
          <w:tcPr>
            <w:tcW w:type="dxa" w:w="5043"/>
            <w:shd w:fill="F4EFE6" w:val="clear"/>
          </w:tcPr>
          <w:p>
            <w:pPr>
              <w:spacing w:after="40" w:before="40"/>
            </w:pPr>
            <w:r/>
            <w:r>
              <w:rPr>
                <w:rFonts w:ascii="Calibri" w:hAnsi="Calibri" w:eastAsia="Calibri"/>
                <w:b w:val="0"/>
                <w:i w:val="0"/>
                <w:color w:val="1A1A1A"/>
                <w:sz w:val="20"/>
              </w:rPr>
              <w:t>Of which accrued to 20 May 2026</w:t>
            </w:r>
          </w:p>
        </w:tc>
        <w:tc>
          <w:tcPr>
            <w:tcW w:type="dxa" w:w="5043"/>
            <w:shd w:fill="F4EFE6" w:val="clear"/>
          </w:tcPr>
          <w:p>
            <w:pPr>
              <w:spacing w:after="40" w:before="40"/>
            </w:pPr>
            <w:r/>
            <w:r>
              <w:rPr>
                <w:rFonts w:ascii="Calibri" w:hAnsi="Calibri" w:eastAsia="Calibri"/>
                <w:b w:val="0"/>
                <w:i w:val="0"/>
                <w:color w:val="1A1A1A"/>
                <w:sz w:val="20"/>
              </w:rPr>
              <w:t>£74,219.59</w:t>
            </w:r>
          </w:p>
        </w:tc>
      </w:tr>
      <w:tr>
        <w:tc>
          <w:tcPr>
            <w:tcW w:type="dxa" w:w="5043"/>
          </w:tcPr>
          <w:p>
            <w:pPr>
              <w:spacing w:after="40" w:before="40"/>
            </w:pPr>
            <w:r/>
            <w:r>
              <w:rPr>
                <w:rFonts w:ascii="Calibri" w:hAnsi="Calibri" w:eastAsia="Calibri"/>
                <w:b w:val="0"/>
                <w:i w:val="0"/>
                <w:color w:val="1A1A1A"/>
                <w:sz w:val="20"/>
              </w:rPr>
              <w:t>Fair rate</w:t>
            </w:r>
          </w:p>
        </w:tc>
        <w:tc>
          <w:tcPr>
            <w:tcW w:type="dxa" w:w="5043"/>
          </w:tcPr>
          <w:p>
            <w:pPr>
              <w:spacing w:after="40" w:before="40"/>
            </w:pPr>
            <w:r/>
            <w:r>
              <w:rPr>
                <w:rFonts w:ascii="Calibri" w:hAnsi="Calibri" w:eastAsia="Calibri"/>
                <w:b w:val="0"/>
                <w:i w:val="0"/>
                <w:color w:val="1A1A1A"/>
                <w:sz w:val="20"/>
              </w:rPr>
              <w:t>Wholesale rate plus a 40% uplift for operating costs (transport, network, levies and the like)</w:t>
            </w:r>
          </w:p>
        </w:tc>
      </w:tr>
      <w:tr>
        <w:tc>
          <w:tcPr>
            <w:tcW w:type="dxa" w:w="5043"/>
            <w:shd w:fill="F4EFE6" w:val="clear"/>
          </w:tcPr>
          <w:p>
            <w:pPr>
              <w:spacing w:after="40" w:before="40"/>
            </w:pPr>
            <w:r/>
            <w:r>
              <w:rPr>
                <w:rFonts w:ascii="Calibri" w:hAnsi="Calibri" w:eastAsia="Calibri"/>
                <w:b w:val="0"/>
                <w:i w:val="0"/>
                <w:color w:val="1A1A1A"/>
                <w:sz w:val="20"/>
              </w:rPr>
              <w:t>What was refunded</w:t>
            </w:r>
          </w:p>
        </w:tc>
        <w:tc>
          <w:tcPr>
            <w:tcW w:type="dxa" w:w="5043"/>
            <w:shd w:fill="F4EFE6" w:val="clear"/>
          </w:tcPr>
          <w:p>
            <w:pPr>
              <w:spacing w:after="40" w:before="40"/>
            </w:pPr>
            <w:r/>
            <w:r>
              <w:rPr>
                <w:rFonts w:ascii="Calibri" w:hAnsi="Calibri" w:eastAsia="Calibri"/>
                <w:b w:val="0"/>
                <w:i w:val="0"/>
                <w:color w:val="1A1A1A"/>
                <w:sz w:val="20"/>
              </w:rPr>
              <w:t>The overpayment (contract unit rate minus that fair rate), together with standing charges</w:t>
            </w:r>
          </w:p>
        </w:tc>
      </w:tr>
      <w:tr>
        <w:tc>
          <w:tcPr>
            <w:tcW w:type="dxa" w:w="5043"/>
          </w:tcPr>
          <w:p>
            <w:pPr>
              <w:spacing w:after="40" w:before="40"/>
            </w:pPr>
            <w:r/>
            <w:r>
              <w:rPr>
                <w:rFonts w:ascii="Calibri" w:hAnsi="Calibri" w:eastAsia="Calibri"/>
                <w:b w:val="0"/>
                <w:i w:val="0"/>
                <w:color w:val="1A1A1A"/>
                <w:sz w:val="20"/>
              </w:rPr>
              <w:t>Interest in that working</w:t>
            </w:r>
          </w:p>
        </w:tc>
        <w:tc>
          <w:tcPr>
            <w:tcW w:type="dxa" w:w="5043"/>
          </w:tcPr>
          <w:p>
            <w:pPr>
              <w:spacing w:after="40" w:before="40"/>
            </w:pPr>
            <w:r/>
            <w:r>
              <w:rPr>
                <w:rFonts w:ascii="Calibri" w:hAnsi="Calibri" w:eastAsia="Calibri"/>
                <w:b w:val="0"/>
                <w:i w:val="0"/>
                <w:color w:val="1A1A1A"/>
                <w:sz w:val="20"/>
              </w:rPr>
              <w:t>8% compensatory / statutory</w:t>
            </w:r>
          </w:p>
        </w:tc>
      </w:tr>
      <w:tr>
        <w:tc>
          <w:tcPr>
            <w:tcW w:type="dxa" w:w="5043"/>
            <w:shd w:fill="F4EFE6" w:val="clear"/>
          </w:tcPr>
          <w:p>
            <w:pPr>
              <w:spacing w:after="40" w:before="40"/>
            </w:pPr>
            <w:r/>
            <w:r>
              <w:rPr>
                <w:rFonts w:ascii="Calibri" w:hAnsi="Calibri" w:eastAsia="Calibri"/>
                <w:b w:val="0"/>
                <w:i w:val="0"/>
                <w:color w:val="1A1A1A"/>
                <w:sz w:val="20"/>
              </w:rPr>
              <w:t>Consumption used</w:t>
            </w:r>
          </w:p>
        </w:tc>
        <w:tc>
          <w:tcPr>
            <w:tcW w:type="dxa" w:w="5043"/>
            <w:shd w:fill="F4EFE6" w:val="clear"/>
          </w:tcPr>
          <w:p>
            <w:pPr>
              <w:spacing w:after="40" w:before="40"/>
            </w:pPr>
            <w:r/>
            <w:r>
              <w:rPr>
                <w:rFonts w:ascii="Calibri" w:hAnsi="Calibri" w:eastAsia="Calibri"/>
                <w:b w:val="0"/>
                <w:i w:val="0"/>
                <w:color w:val="1A1A1A"/>
                <w:sz w:val="20"/>
              </w:rPr>
              <w:t>Estimated annual consumption from the signed agreements, not metered bills</w:t>
            </w:r>
          </w:p>
        </w:tc>
      </w:tr>
      <w:tr>
        <w:tc>
          <w:tcPr>
            <w:tcW w:type="dxa" w:w="5043"/>
          </w:tcPr>
          <w:p>
            <w:pPr>
              <w:spacing w:after="40" w:before="40"/>
            </w:pPr>
            <w:r/>
            <w:r>
              <w:rPr>
                <w:rFonts w:ascii="Calibri" w:hAnsi="Calibri" w:eastAsia="Calibri"/>
                <w:b w:val="0"/>
                <w:i w:val="0"/>
                <w:color w:val="1A1A1A"/>
                <w:sz w:val="20"/>
              </w:rPr>
              <w:t>Commission as a separate line</w:t>
            </w:r>
          </w:p>
        </w:tc>
        <w:tc>
          <w:tcPr>
            <w:tcW w:type="dxa" w:w="5043"/>
          </w:tcPr>
          <w:p>
            <w:pPr>
              <w:spacing w:after="40" w:before="40"/>
            </w:pPr>
            <w:r/>
            <w:r>
              <w:rPr>
                <w:rFonts w:ascii="Calibri" w:hAnsi="Calibri" w:eastAsia="Calibri"/>
                <w:b w:val="0"/>
                <w:i w:val="0"/>
                <w:color w:val="1A1A1A"/>
                <w:sz w:val="20"/>
              </w:rPr>
              <w:t>Not stated</w:t>
            </w:r>
          </w:p>
        </w:tc>
      </w:tr>
    </w:tbl>
    <w:p/>
    <w:p>
      <w:pPr>
        <w:spacing w:after="160"/>
      </w:pPr>
      <w:r>
        <w:rPr>
          <w:rFonts w:ascii="Calibri" w:hAnsi="Calibri" w:eastAsia="Calibri"/>
          <w:b w:val="0"/>
          <w:i w:val="0"/>
          <w:color w:val="1A1A1A"/>
          <w:sz w:val="22"/>
        </w:rPr>
        <w:t>Counsel’s own reading (opinion paragraph 40): that “fair rate” is an attempt to stand in for the supplier’s true cost of supply — that is, C + D — so the fair-cost total may be read as a proxy for (A + B) − (C + D + E) when C + D is taken as wholesale plus 40%, standing charges are added back, and interest is 8%. This note adopts that reading because you asked for the cells to be filled from Mersenne. It is a proxy, not Engie’s actual cost ledger.</w:t>
      </w:r>
    </w:p>
    <w:p>
      <w:pPr>
        <w:pStyle w:val="Heading1"/>
      </w:pPr>
      <w:r>
        <w:rPr>
          <w:rFonts w:ascii="Calibri" w:hAnsi="Calibri"/>
          <w:color w:val="7A1F2B"/>
        </w:rPr>
        <w:t>3. Working table — filled from Mersenne</w:t>
      </w:r>
    </w:p>
    <w:tbl>
      <w:tblPr>
        <w:tblStyle w:val="TableGrid"/>
        <w:tblW w:type="auto" w:w="0"/>
        <w:tblLook w:firstColumn="1" w:firstRow="1" w:lastColumn="0" w:lastRow="0" w:noHBand="0" w:noVBand="1" w:val="04A0"/>
      </w:tblPr>
      <w:tblGrid>
        <w:gridCol w:w="2521"/>
        <w:gridCol w:w="2521"/>
        <w:gridCol w:w="2521"/>
        <w:gridCol w:w="2521"/>
      </w:tblGrid>
      <w:tr>
        <w:tc>
          <w:tcPr>
            <w:tcW w:type="dxa" w:w="2521"/>
            <w:shd w:fill="7A1F2B" w:val="clear"/>
          </w:tcPr>
          <w:p>
            <w:pPr>
              <w:spacing w:after="40" w:before="40"/>
            </w:pPr>
            <w:r/>
            <w:r>
              <w:rPr>
                <w:rFonts w:ascii="Calibri" w:hAnsi="Calibri" w:eastAsia="Calibri"/>
                <w:b/>
                <w:i w:val="0"/>
                <w:color w:val="FFFFFF"/>
                <w:sz w:val="20"/>
              </w:rPr>
              <w:t>Line</w:t>
            </w:r>
          </w:p>
        </w:tc>
        <w:tc>
          <w:tcPr>
            <w:tcW w:type="dxa" w:w="2521"/>
            <w:shd w:fill="7A1F2B" w:val="clear"/>
          </w:tcPr>
          <w:p>
            <w:pPr>
              <w:spacing w:after="40" w:before="40"/>
            </w:pPr>
            <w:r/>
            <w:r>
              <w:rPr>
                <w:rFonts w:ascii="Calibri" w:hAnsi="Calibri" w:eastAsia="Calibri"/>
                <w:b/>
                <w:i w:val="0"/>
                <w:color w:val="FFFFFF"/>
                <w:sz w:val="20"/>
              </w:rPr>
              <w:t>Amount</w:t>
            </w:r>
          </w:p>
        </w:tc>
        <w:tc>
          <w:tcPr>
            <w:tcW w:type="dxa" w:w="2521"/>
            <w:shd w:fill="7A1F2B" w:val="clear"/>
          </w:tcPr>
          <w:p>
            <w:pPr>
              <w:spacing w:after="40" w:before="40"/>
            </w:pPr>
            <w:r/>
            <w:r>
              <w:rPr>
                <w:rFonts w:ascii="Calibri" w:hAnsi="Calibri" w:eastAsia="Calibri"/>
                <w:b/>
                <w:i w:val="0"/>
                <w:color w:val="FFFFFF"/>
                <w:sz w:val="20"/>
              </w:rPr>
              <w:t>How it was filled</w:t>
            </w:r>
          </w:p>
        </w:tc>
        <w:tc>
          <w:tcPr>
            <w:tcW w:type="dxa" w:w="2521"/>
            <w:shd w:fill="7A1F2B" w:val="clear"/>
          </w:tcPr>
          <w:p>
            <w:pPr>
              <w:spacing w:after="40" w:before="40"/>
            </w:pPr>
            <w:r/>
            <w:r>
              <w:rPr>
                <w:rFonts w:ascii="Calibri" w:hAnsi="Calibri" w:eastAsia="Calibri"/>
                <w:b/>
                <w:i w:val="0"/>
                <w:color w:val="FFFFFF"/>
                <w:sz w:val="20"/>
              </w:rPr>
              <w:t>Mark</w:t>
            </w:r>
          </w:p>
        </w:tc>
      </w:tr>
      <w:tr>
        <w:tc>
          <w:tcPr>
            <w:tcW w:type="dxa" w:w="2521"/>
          </w:tcPr>
          <w:p>
            <w:pPr>
              <w:spacing w:after="40" w:before="40"/>
            </w:pPr>
            <w:r/>
            <w:r>
              <w:rPr>
                <w:rFonts w:ascii="Calibri" w:hAnsi="Calibri" w:eastAsia="Calibri"/>
                <w:b w:val="0"/>
                <w:i w:val="0"/>
                <w:color w:val="1A1A1A"/>
                <w:sz w:val="20"/>
              </w:rPr>
              <w:t>A  Total energy spend</w:t>
            </w:r>
          </w:p>
        </w:tc>
        <w:tc>
          <w:tcPr>
            <w:tcW w:type="dxa" w:w="2521"/>
          </w:tcPr>
          <w:p>
            <w:pPr>
              <w:spacing w:after="40" w:before="40"/>
            </w:pPr>
            <w:r/>
            <w:r>
              <w:rPr>
                <w:rFonts w:ascii="Calibri" w:hAnsi="Calibri" w:eastAsia="Calibri"/>
                <w:b w:val="0"/>
                <w:i w:val="0"/>
                <w:color w:val="1A1A1A"/>
                <w:sz w:val="20"/>
              </w:rPr>
              <w:t>Not separately stated in the opinion</w:t>
            </w:r>
          </w:p>
        </w:tc>
        <w:tc>
          <w:tcPr>
            <w:tcW w:type="dxa" w:w="2521"/>
          </w:tcPr>
          <w:p>
            <w:pPr>
              <w:spacing w:after="40" w:before="40"/>
            </w:pPr>
            <w:r/>
            <w:r>
              <w:rPr>
                <w:rFonts w:ascii="Calibri" w:hAnsi="Calibri" w:eastAsia="Calibri"/>
                <w:b w:val="0"/>
                <w:i w:val="0"/>
                <w:color w:val="1A1A1A"/>
                <w:sz w:val="20"/>
              </w:rPr>
              <w:t>Mersenne used contract estimated annual consumption and the billed structure, but the opinion does not print a pound total for A. A cannot be printed as a number without inventing kWh or invoice totals.</w:t>
            </w:r>
          </w:p>
        </w:tc>
        <w:tc>
          <w:tcPr>
            <w:tcW w:type="dxa" w:w="2521"/>
          </w:tcPr>
          <w:p>
            <w:pPr>
              <w:spacing w:after="40" w:before="40"/>
            </w:pPr>
            <w:r/>
            <w:r>
              <w:rPr>
                <w:rFonts w:ascii="Calibri" w:hAnsi="Calibri" w:eastAsia="Calibri"/>
                <w:b w:val="0"/>
                <w:i w:val="0"/>
                <w:color w:val="1A1A1A"/>
                <w:sz w:val="20"/>
              </w:rPr>
              <w:t>Unsplit</w:t>
            </w:r>
          </w:p>
        </w:tc>
      </w:tr>
      <w:tr>
        <w:tc>
          <w:tcPr>
            <w:tcW w:type="dxa" w:w="2521"/>
            <w:shd w:fill="F4EFE6" w:val="clear"/>
          </w:tcPr>
          <w:p>
            <w:pPr>
              <w:spacing w:after="40" w:before="40"/>
            </w:pPr>
            <w:r/>
            <w:r>
              <w:rPr>
                <w:rFonts w:ascii="Calibri" w:hAnsi="Calibri" w:eastAsia="Calibri"/>
                <w:b w:val="0"/>
                <w:i w:val="0"/>
                <w:color w:val="1A1A1A"/>
                <w:sz w:val="20"/>
              </w:rPr>
              <w:t>B  Interest on A — rate</w:t>
            </w:r>
          </w:p>
        </w:tc>
        <w:tc>
          <w:tcPr>
            <w:tcW w:type="dxa" w:w="2521"/>
            <w:shd w:fill="F4EFE6" w:val="clear"/>
          </w:tcPr>
          <w:p>
            <w:pPr>
              <w:spacing w:after="40" w:before="40"/>
            </w:pPr>
            <w:r/>
            <w:r>
              <w:rPr>
                <w:rFonts w:ascii="Calibri" w:hAnsi="Calibri" w:eastAsia="Calibri"/>
                <w:b w:val="0"/>
                <w:i w:val="0"/>
                <w:color w:val="1A1A1A"/>
                <w:sz w:val="20"/>
              </w:rPr>
              <w:t>8% simple, compensatory</w:t>
            </w:r>
          </w:p>
        </w:tc>
        <w:tc>
          <w:tcPr>
            <w:tcW w:type="dxa" w:w="2521"/>
            <w:shd w:fill="F4EFE6" w:val="clear"/>
          </w:tcPr>
          <w:p>
            <w:pPr>
              <w:spacing w:after="40" w:before="40"/>
            </w:pPr>
            <w:r/>
            <w:r>
              <w:rPr>
                <w:rFonts w:ascii="Calibri" w:hAnsi="Calibri" w:eastAsia="Calibri"/>
                <w:b w:val="0"/>
                <w:i w:val="0"/>
                <w:color w:val="1A1A1A"/>
                <w:sz w:val="20"/>
              </w:rPr>
              <w:t>Copied from Mersenne as cited. Applied in their working to the fair-cost result, not separately printed as a pound figure on A.</w:t>
            </w:r>
          </w:p>
        </w:tc>
        <w:tc>
          <w:tcPr>
            <w:tcW w:type="dxa" w:w="2521"/>
            <w:shd w:fill="F4EFE6" w:val="clear"/>
          </w:tcPr>
          <w:p>
            <w:pPr>
              <w:spacing w:after="40" w:before="40"/>
            </w:pPr>
            <w:r/>
            <w:r>
              <w:rPr>
                <w:rFonts w:ascii="Calibri" w:hAnsi="Calibri" w:eastAsia="Calibri"/>
                <w:b w:val="0"/>
                <w:i w:val="0"/>
                <w:color w:val="1A1A1A"/>
                <w:sz w:val="20"/>
              </w:rPr>
              <w:t>Sourced — Mersenne</w:t>
            </w:r>
          </w:p>
        </w:tc>
      </w:tr>
      <w:tr>
        <w:tc>
          <w:tcPr>
            <w:tcW w:type="dxa" w:w="2521"/>
          </w:tcPr>
          <w:p>
            <w:pPr>
              <w:spacing w:after="40" w:before="40"/>
            </w:pPr>
            <w:r/>
            <w:r>
              <w:rPr>
                <w:rFonts w:ascii="Calibri" w:hAnsi="Calibri" w:eastAsia="Calibri"/>
                <w:b w:val="0"/>
                <w:i w:val="0"/>
                <w:color w:val="1A1A1A"/>
                <w:sz w:val="20"/>
              </w:rPr>
              <w:t>C  Hedged / purchase cost</w:t>
            </w:r>
          </w:p>
        </w:tc>
        <w:tc>
          <w:tcPr>
            <w:tcW w:type="dxa" w:w="2521"/>
          </w:tcPr>
          <w:p>
            <w:pPr>
              <w:spacing w:after="40" w:before="40"/>
            </w:pPr>
            <w:r/>
            <w:r>
              <w:rPr>
                <w:rFonts w:ascii="Calibri" w:hAnsi="Calibri" w:eastAsia="Calibri"/>
                <w:b w:val="0"/>
                <w:i w:val="0"/>
                <w:color w:val="1A1A1A"/>
                <w:sz w:val="20"/>
              </w:rPr>
              <w:t>Not separately stated</w:t>
            </w:r>
          </w:p>
        </w:tc>
        <w:tc>
          <w:tcPr>
            <w:tcW w:type="dxa" w:w="2521"/>
          </w:tcPr>
          <w:p>
            <w:pPr>
              <w:spacing w:after="40" w:before="40"/>
            </w:pPr>
            <w:r/>
            <w:r>
              <w:rPr>
                <w:rFonts w:ascii="Calibri" w:hAnsi="Calibri" w:eastAsia="Calibri"/>
                <w:b w:val="0"/>
                <w:i w:val="0"/>
                <w:color w:val="1A1A1A"/>
                <w:sz w:val="20"/>
              </w:rPr>
              <w:t>Inside Mersenne’s “wholesale rate”. No p/kWh and no pound total is printed in the opinion.</w:t>
            </w:r>
          </w:p>
        </w:tc>
        <w:tc>
          <w:tcPr>
            <w:tcW w:type="dxa" w:w="2521"/>
          </w:tcPr>
          <w:p>
            <w:pPr>
              <w:spacing w:after="40" w:before="40"/>
            </w:pPr>
            <w:r/>
            <w:r>
              <w:rPr>
                <w:rFonts w:ascii="Calibri" w:hAnsi="Calibri" w:eastAsia="Calibri"/>
                <w:b w:val="0"/>
                <w:i w:val="0"/>
                <w:color w:val="1A1A1A"/>
                <w:sz w:val="20"/>
              </w:rPr>
              <w:t>Unsplit</w:t>
            </w:r>
          </w:p>
        </w:tc>
      </w:tr>
      <w:tr>
        <w:tc>
          <w:tcPr>
            <w:tcW w:type="dxa" w:w="2521"/>
            <w:shd w:fill="F4EFE6" w:val="clear"/>
          </w:tcPr>
          <w:p>
            <w:pPr>
              <w:spacing w:after="40" w:before="40"/>
            </w:pPr>
            <w:r/>
            <w:r>
              <w:rPr>
                <w:rFonts w:ascii="Calibri" w:hAnsi="Calibri" w:eastAsia="Calibri"/>
                <w:b w:val="0"/>
                <w:i w:val="0"/>
                <w:color w:val="1A1A1A"/>
                <w:sz w:val="20"/>
              </w:rPr>
              <w:t>D  Delivery to meter</w:t>
            </w:r>
          </w:p>
        </w:tc>
        <w:tc>
          <w:tcPr>
            <w:tcW w:type="dxa" w:w="2521"/>
            <w:shd w:fill="F4EFE6" w:val="clear"/>
          </w:tcPr>
          <w:p>
            <w:pPr>
              <w:spacing w:after="40" w:before="40"/>
            </w:pPr>
            <w:r/>
            <w:r>
              <w:rPr>
                <w:rFonts w:ascii="Calibri" w:hAnsi="Calibri" w:eastAsia="Calibri"/>
                <w:b w:val="0"/>
                <w:i w:val="0"/>
                <w:color w:val="1A1A1A"/>
                <w:sz w:val="20"/>
              </w:rPr>
              <w:t>40% of wholesale (proxy)</w:t>
            </w:r>
          </w:p>
        </w:tc>
        <w:tc>
          <w:tcPr>
            <w:tcW w:type="dxa" w:w="2521"/>
            <w:shd w:fill="F4EFE6" w:val="clear"/>
          </w:tcPr>
          <w:p>
            <w:pPr>
              <w:spacing w:after="40" w:before="40"/>
            </w:pPr>
            <w:r/>
            <w:r>
              <w:rPr>
                <w:rFonts w:ascii="Calibri" w:hAnsi="Calibri" w:eastAsia="Calibri"/>
                <w:b w:val="0"/>
                <w:i w:val="0"/>
                <w:color w:val="1A1A1A"/>
                <w:sz w:val="20"/>
              </w:rPr>
              <w:t>Mersenne’s uplift for operating costs, transport, network, levies. Used as the stand-in for D. Not Engie’s actual build-up.</w:t>
            </w:r>
          </w:p>
        </w:tc>
        <w:tc>
          <w:tcPr>
            <w:tcW w:type="dxa" w:w="2521"/>
            <w:shd w:fill="F4EFE6" w:val="clear"/>
          </w:tcPr>
          <w:p>
            <w:pPr>
              <w:spacing w:after="40" w:before="40"/>
            </w:pPr>
            <w:r/>
            <w:r>
              <w:rPr>
                <w:rFonts w:ascii="Calibri" w:hAnsi="Calibri" w:eastAsia="Calibri"/>
                <w:b w:val="0"/>
                <w:i w:val="0"/>
                <w:color w:val="1A1A1A"/>
                <w:sz w:val="20"/>
              </w:rPr>
              <w:t>Proxy — Mersenne 40%</w:t>
            </w:r>
          </w:p>
        </w:tc>
      </w:tr>
      <w:tr>
        <w:tc>
          <w:tcPr>
            <w:tcW w:type="dxa" w:w="2521"/>
          </w:tcPr>
          <w:p>
            <w:pPr>
              <w:spacing w:after="40" w:before="40"/>
            </w:pPr>
            <w:r/>
            <w:r>
              <w:rPr>
                <w:rFonts w:ascii="Calibri" w:hAnsi="Calibri" w:eastAsia="Calibri"/>
                <w:b w:val="0"/>
                <w:i w:val="0"/>
                <w:color w:val="1A1A1A"/>
                <w:sz w:val="20"/>
              </w:rPr>
              <w:t>C + D  True-cost proxy</w:t>
            </w:r>
          </w:p>
        </w:tc>
        <w:tc>
          <w:tcPr>
            <w:tcW w:type="dxa" w:w="2521"/>
          </w:tcPr>
          <w:p>
            <w:pPr>
              <w:spacing w:after="40" w:before="40"/>
            </w:pPr>
            <w:r/>
            <w:r>
              <w:rPr>
                <w:rFonts w:ascii="Calibri" w:hAnsi="Calibri" w:eastAsia="Calibri"/>
                <w:b w:val="0"/>
                <w:i w:val="0"/>
                <w:color w:val="1A1A1A"/>
                <w:sz w:val="20"/>
              </w:rPr>
              <w:t>Wholesale × 1.40 × kWh  (plus they refunded standing charges on top of the overpayment)</w:t>
            </w:r>
          </w:p>
        </w:tc>
        <w:tc>
          <w:tcPr>
            <w:tcW w:type="dxa" w:w="2521"/>
          </w:tcPr>
          <w:p>
            <w:pPr>
              <w:spacing w:after="40" w:before="40"/>
            </w:pPr>
            <w:r/>
            <w:r>
              <w:rPr>
                <w:rFonts w:ascii="Calibri" w:hAnsi="Calibri" w:eastAsia="Calibri"/>
                <w:b w:val="0"/>
                <w:i w:val="0"/>
                <w:color w:val="1A1A1A"/>
                <w:sz w:val="20"/>
              </w:rPr>
              <w:t>That is the “fair rate” description. Still no pound split in the opinion.</w:t>
            </w:r>
          </w:p>
        </w:tc>
        <w:tc>
          <w:tcPr>
            <w:tcW w:type="dxa" w:w="2521"/>
          </w:tcPr>
          <w:p>
            <w:pPr>
              <w:spacing w:after="40" w:before="40"/>
            </w:pPr>
            <w:r/>
            <w:r>
              <w:rPr>
                <w:rFonts w:ascii="Calibri" w:hAnsi="Calibri" w:eastAsia="Calibri"/>
                <w:b w:val="0"/>
                <w:i w:val="0"/>
                <w:color w:val="1A1A1A"/>
                <w:sz w:val="20"/>
              </w:rPr>
              <w:t>Proxy — Mersenne</w:t>
            </w:r>
          </w:p>
        </w:tc>
      </w:tr>
      <w:tr>
        <w:tc>
          <w:tcPr>
            <w:tcW w:type="dxa" w:w="2521"/>
            <w:shd w:fill="F4EFE6" w:val="clear"/>
          </w:tcPr>
          <w:p>
            <w:pPr>
              <w:spacing w:after="40" w:before="40"/>
            </w:pPr>
            <w:r/>
            <w:r>
              <w:rPr>
                <w:rFonts w:ascii="Calibri" w:hAnsi="Calibri" w:eastAsia="Calibri"/>
                <w:b w:val="0"/>
                <w:i w:val="0"/>
                <w:color w:val="1A1A1A"/>
                <w:sz w:val="20"/>
              </w:rPr>
              <w:t>E  Interest on C + D — rate</w:t>
            </w:r>
          </w:p>
        </w:tc>
        <w:tc>
          <w:tcPr>
            <w:tcW w:type="dxa" w:w="2521"/>
            <w:shd w:fill="F4EFE6" w:val="clear"/>
          </w:tcPr>
          <w:p>
            <w:pPr>
              <w:spacing w:after="40" w:before="40"/>
            </w:pPr>
            <w:r/>
            <w:r>
              <w:rPr>
                <w:rFonts w:ascii="Calibri" w:hAnsi="Calibri" w:eastAsia="Calibri"/>
                <w:b w:val="0"/>
                <w:i w:val="0"/>
                <w:color w:val="1A1A1A"/>
                <w:sz w:val="20"/>
              </w:rPr>
              <w:t>8%</w:t>
            </w:r>
          </w:p>
        </w:tc>
        <w:tc>
          <w:tcPr>
            <w:tcW w:type="dxa" w:w="2521"/>
            <w:shd w:fill="F4EFE6" w:val="clear"/>
          </w:tcPr>
          <w:p>
            <w:pPr>
              <w:spacing w:after="40" w:before="40"/>
            </w:pPr>
            <w:r/>
            <w:r>
              <w:rPr>
                <w:rFonts w:ascii="Calibri" w:hAnsi="Calibri" w:eastAsia="Calibri"/>
                <w:b w:val="0"/>
                <w:i w:val="0"/>
                <w:color w:val="1A1A1A"/>
                <w:sz w:val="20"/>
              </w:rPr>
              <w:t>Mersenne stated one interest rate. You asked for E to be filled. The only sourced rate is 8%, so E is set equal to B. Net interest = 8% on (A − C − D).</w:t>
            </w:r>
          </w:p>
        </w:tc>
        <w:tc>
          <w:tcPr>
            <w:tcW w:type="dxa" w:w="2521"/>
            <w:shd w:fill="F4EFE6" w:val="clear"/>
          </w:tcPr>
          <w:p>
            <w:pPr>
              <w:spacing w:after="40" w:before="40"/>
            </w:pPr>
            <w:r/>
            <w:r>
              <w:rPr>
                <w:rFonts w:ascii="Calibri" w:hAnsi="Calibri" w:eastAsia="Calibri"/>
                <w:b w:val="0"/>
                <w:i w:val="0"/>
                <w:color w:val="1A1A1A"/>
                <w:sz w:val="20"/>
              </w:rPr>
              <w:t>Sourced — same rate as B</w:t>
            </w:r>
          </w:p>
        </w:tc>
      </w:tr>
      <w:tr>
        <w:tc>
          <w:tcPr>
            <w:tcW w:type="dxa" w:w="2521"/>
          </w:tcPr>
          <w:p>
            <w:pPr>
              <w:spacing w:after="40" w:before="40"/>
            </w:pPr>
            <w:r/>
            <w:r>
              <w:rPr>
                <w:rFonts w:ascii="Calibri" w:hAnsi="Calibri" w:eastAsia="Calibri"/>
                <w:b w:val="0"/>
                <w:i w:val="0"/>
                <w:color w:val="1A1A1A"/>
                <w:sz w:val="20"/>
              </w:rPr>
              <w:t>(A + B) − (C + D + E)  to 30 September 2026</w:t>
            </w:r>
          </w:p>
        </w:tc>
        <w:tc>
          <w:tcPr>
            <w:tcW w:type="dxa" w:w="2521"/>
          </w:tcPr>
          <w:p>
            <w:pPr>
              <w:spacing w:after="40" w:before="40"/>
            </w:pPr>
            <w:r/>
            <w:r>
              <w:rPr>
                <w:rFonts w:ascii="Calibri" w:hAnsi="Calibri" w:eastAsia="Calibri"/>
                <w:b w:val="0"/>
                <w:i w:val="0"/>
                <w:color w:val="1A1A1A"/>
                <w:sz w:val="20"/>
              </w:rPr>
              <w:t>£82,419.25</w:t>
            </w:r>
          </w:p>
        </w:tc>
        <w:tc>
          <w:tcPr>
            <w:tcW w:type="dxa" w:w="2521"/>
          </w:tcPr>
          <w:p>
            <w:pPr>
              <w:spacing w:after="40" w:before="40"/>
            </w:pPr>
            <w:r/>
            <w:r>
              <w:rPr>
                <w:rFonts w:ascii="Calibri" w:hAnsi="Calibri" w:eastAsia="Calibri"/>
                <w:b w:val="0"/>
                <w:i w:val="0"/>
                <w:color w:val="1A1A1A"/>
                <w:sz w:val="20"/>
              </w:rPr>
              <w:t>Mersenne’s fair-cost total to the supply end date, adopted here as the Wood proxy because counsel describe that working as an attempt to reach true cost of supply.</w:t>
            </w:r>
          </w:p>
        </w:tc>
        <w:tc>
          <w:tcPr>
            <w:tcW w:type="dxa" w:w="2521"/>
          </w:tcPr>
          <w:p>
            <w:pPr>
              <w:spacing w:after="40" w:before="40"/>
            </w:pPr>
            <w:r/>
            <w:r>
              <w:rPr>
                <w:rFonts w:ascii="Calibri" w:hAnsi="Calibri" w:eastAsia="Calibri"/>
                <w:b w:val="0"/>
                <w:i w:val="0"/>
                <w:color w:val="1A1A1A"/>
                <w:sz w:val="20"/>
              </w:rPr>
              <w:t>Sourced — Mersenne total</w:t>
            </w:r>
          </w:p>
        </w:tc>
      </w:tr>
      <w:tr>
        <w:tc>
          <w:tcPr>
            <w:tcW w:type="dxa" w:w="2521"/>
            <w:shd w:fill="F4EFE6" w:val="clear"/>
          </w:tcPr>
          <w:p>
            <w:pPr>
              <w:spacing w:after="40" w:before="40"/>
            </w:pPr>
            <w:r/>
            <w:r>
              <w:rPr>
                <w:rFonts w:ascii="Calibri" w:hAnsi="Calibri" w:eastAsia="Calibri"/>
                <w:b w:val="0"/>
                <w:i w:val="0"/>
                <w:color w:val="1A1A1A"/>
                <w:sz w:val="20"/>
              </w:rPr>
              <w:t>(A + B) − (C + D + E)  to 20 May 2026</w:t>
            </w:r>
          </w:p>
        </w:tc>
        <w:tc>
          <w:tcPr>
            <w:tcW w:type="dxa" w:w="2521"/>
            <w:shd w:fill="F4EFE6" w:val="clear"/>
          </w:tcPr>
          <w:p>
            <w:pPr>
              <w:spacing w:after="40" w:before="40"/>
            </w:pPr>
            <w:r/>
            <w:r>
              <w:rPr>
                <w:rFonts w:ascii="Calibri" w:hAnsi="Calibri" w:eastAsia="Calibri"/>
                <w:b w:val="0"/>
                <w:i w:val="0"/>
                <w:color w:val="1A1A1A"/>
                <w:sz w:val="20"/>
              </w:rPr>
              <w:t>£74,219.59</w:t>
            </w:r>
          </w:p>
        </w:tc>
        <w:tc>
          <w:tcPr>
            <w:tcW w:type="dxa" w:w="2521"/>
            <w:shd w:fill="F4EFE6" w:val="clear"/>
          </w:tcPr>
          <w:p>
            <w:pPr>
              <w:spacing w:after="40" w:before="40"/>
            </w:pPr>
            <w:r/>
            <w:r>
              <w:rPr>
                <w:rFonts w:ascii="Calibri" w:hAnsi="Calibri" w:eastAsia="Calibri"/>
                <w:b w:val="0"/>
                <w:i w:val="0"/>
                <w:color w:val="1A1A1A"/>
                <w:sz w:val="20"/>
              </w:rPr>
              <w:t>The accrued part of the same total, as written in the opinion.</w:t>
            </w:r>
          </w:p>
        </w:tc>
        <w:tc>
          <w:tcPr>
            <w:tcW w:type="dxa" w:w="2521"/>
            <w:shd w:fill="F4EFE6" w:val="clear"/>
          </w:tcPr>
          <w:p>
            <w:pPr>
              <w:spacing w:after="40" w:before="40"/>
            </w:pPr>
            <w:r/>
            <w:r>
              <w:rPr>
                <w:rFonts w:ascii="Calibri" w:hAnsi="Calibri" w:eastAsia="Calibri"/>
                <w:b w:val="0"/>
                <w:i w:val="0"/>
                <w:color w:val="1A1A1A"/>
                <w:sz w:val="20"/>
              </w:rPr>
              <w:t>Sourced — Mersenne total</w:t>
            </w:r>
          </w:p>
        </w:tc>
      </w:tr>
      <w:tr>
        <w:tc>
          <w:tcPr>
            <w:tcW w:type="dxa" w:w="2521"/>
          </w:tcPr>
          <w:p>
            <w:pPr>
              <w:spacing w:after="40" w:before="40"/>
            </w:pPr>
            <w:r/>
            <w:r>
              <w:rPr>
                <w:rFonts w:ascii="Calibri" w:hAnsi="Calibri" w:eastAsia="Calibri"/>
                <w:b w:val="0"/>
                <w:i w:val="0"/>
                <w:color w:val="1A1A1A"/>
                <w:sz w:val="20"/>
              </w:rPr>
              <w:t>Broker remuneration (floor)</w:t>
            </w:r>
          </w:p>
        </w:tc>
        <w:tc>
          <w:tcPr>
            <w:tcW w:type="dxa" w:w="2521"/>
          </w:tcPr>
          <w:p>
            <w:pPr>
              <w:spacing w:after="40" w:before="40"/>
            </w:pPr>
            <w:r/>
            <w:r>
              <w:rPr>
                <w:rFonts w:ascii="Calibri" w:hAnsi="Calibri" w:eastAsia="Calibri"/>
                <w:b w:val="0"/>
                <w:i w:val="0"/>
                <w:color w:val="1A1A1A"/>
                <w:sz w:val="20"/>
              </w:rPr>
              <w:t>Not stated</w:t>
            </w:r>
          </w:p>
        </w:tc>
        <w:tc>
          <w:tcPr>
            <w:tcW w:type="dxa" w:w="2521"/>
          </w:tcPr>
          <w:p>
            <w:pPr>
              <w:spacing w:after="40" w:before="40"/>
            </w:pPr>
            <w:r/>
            <w:r>
              <w:rPr>
                <w:rFonts w:ascii="Calibri" w:hAnsi="Calibri" w:eastAsia="Calibri"/>
                <w:b w:val="0"/>
                <w:i w:val="0"/>
                <w:color w:val="1A1A1A"/>
                <w:sz w:val="20"/>
              </w:rPr>
              <w:t>Mersenne did not print a discrete commission / override figure. Still blank. Not guessed.</w:t>
            </w:r>
          </w:p>
        </w:tc>
        <w:tc>
          <w:tcPr>
            <w:tcW w:type="dxa" w:w="2521"/>
          </w:tcPr>
          <w:p>
            <w:pPr>
              <w:spacing w:after="40" w:before="40"/>
            </w:pPr>
            <w:r/>
            <w:r>
              <w:rPr>
                <w:rFonts w:ascii="Calibri" w:hAnsi="Calibri" w:eastAsia="Calibri"/>
                <w:b w:val="0"/>
                <w:i w:val="0"/>
                <w:color w:val="1A1A1A"/>
                <w:sz w:val="20"/>
              </w:rPr>
              <w:t>Blank</w:t>
            </w:r>
          </w:p>
        </w:tc>
      </w:tr>
    </w:tbl>
    <w:p/>
    <w:p>
      <w:pPr>
        <w:pStyle w:val="Heading1"/>
      </w:pPr>
      <w:r>
        <w:rPr>
          <w:rFonts w:ascii="Calibri" w:hAnsi="Calibri"/>
          <w:color w:val="7A1F2B"/>
        </w:rPr>
        <w:t>4. What this fill is, and is not</w:t>
      </w:r>
    </w:p>
    <w:p>
      <w:pPr>
        <w:pStyle w:val="ListBullet"/>
      </w:pPr>
      <w:r>
        <w:rPr>
          <w:rFonts w:ascii="Calibri" w:hAnsi="Calibri" w:eastAsia="Calibri"/>
          <w:b w:val="0"/>
          <w:i w:val="0"/>
          <w:color w:val="1A1A1A"/>
          <w:sz w:val="22"/>
        </w:rPr>
        <w:t>It is an instruction to use Mersenne’s 8%, Mersenne’s 40% proxy, and Mersenne’s two totals.</w:t>
      </w:r>
    </w:p>
    <w:p>
      <w:pPr>
        <w:pStyle w:val="ListBullet"/>
      </w:pPr>
      <w:r>
        <w:rPr>
          <w:rFonts w:ascii="Calibri" w:hAnsi="Calibri" w:eastAsia="Calibri"/>
          <w:b w:val="0"/>
          <w:i w:val="0"/>
          <w:color w:val="1A1A1A"/>
          <w:sz w:val="22"/>
        </w:rPr>
        <w:t>It is not a re-calculation of invoices. kWh, standing-charge pounds, and wholesale p/kWh are still not on the pages in this pack.</w:t>
      </w:r>
    </w:p>
    <w:p>
      <w:pPr>
        <w:pStyle w:val="ListBullet"/>
      </w:pPr>
      <w:r>
        <w:rPr>
          <w:rFonts w:ascii="Calibri" w:hAnsi="Calibri" w:eastAsia="Calibri"/>
          <w:b w:val="0"/>
          <w:i w:val="0"/>
          <w:color w:val="1A1A1A"/>
          <w:sz w:val="22"/>
        </w:rPr>
        <w:t>A, C and the pound value of D remain unsplit. Only the net and the rates are filled.</w:t>
      </w:r>
    </w:p>
    <w:p>
      <w:pPr>
        <w:pStyle w:val="ListBullet"/>
      </w:pPr>
      <w:r>
        <w:rPr>
          <w:rFonts w:ascii="Calibri" w:hAnsi="Calibri" w:eastAsia="Calibri"/>
          <w:b w:val="0"/>
          <w:i w:val="0"/>
          <w:color w:val="1A1A1A"/>
          <w:sz w:val="22"/>
        </w:rPr>
        <w:t>The 40% is marked proxy. If Engie later discloses actual C and D, those figures replace the proxy; the £82,419.25 is then a cross-check, not the live line.</w:t>
      </w:r>
    </w:p>
    <w:p>
      <w:pPr>
        <w:pStyle w:val="ListBullet"/>
      </w:pPr>
      <w:r>
        <w:rPr>
          <w:rFonts w:ascii="Calibri" w:hAnsi="Calibri" w:eastAsia="Calibri"/>
          <w:b w:val="0"/>
          <w:i w:val="0"/>
          <w:color w:val="1A1A1A"/>
          <w:sz w:val="22"/>
        </w:rPr>
        <w:t>E is 8% only because that is the single rate Mersenne used. It is not a LIBOR or SONIA choice.</w:t>
      </w:r>
    </w:p>
    <w:p>
      <w:pPr>
        <w:pStyle w:val="ListBullet"/>
      </w:pPr>
      <w:r>
        <w:rPr>
          <w:rFonts w:ascii="Calibri" w:hAnsi="Calibri" w:eastAsia="Calibri"/>
          <w:b w:val="0"/>
          <w:i w:val="0"/>
          <w:color w:val="1A1A1A"/>
          <w:sz w:val="22"/>
        </w:rPr>
        <w:t>Nothing is taken from the Clark v Blemain mortgage report.</w:t>
      </w:r>
    </w:p>
    <w:p>
      <w:pPr>
        <w:pStyle w:val="ListBullet"/>
      </w:pPr>
      <w:r>
        <w:rPr>
          <w:rFonts w:ascii="Calibri" w:hAnsi="Calibri" w:eastAsia="Calibri"/>
          <w:b w:val="0"/>
          <w:i w:val="0"/>
          <w:color w:val="1A1A1A"/>
          <w:sz w:val="22"/>
        </w:rPr>
        <w:t>This is not legal advice and not an expert report.</w:t>
      </w:r>
    </w:p>
    <w:p>
      <w:pPr>
        <w:pStyle w:val="Heading1"/>
      </w:pPr>
      <w:r>
        <w:rPr>
          <w:rFonts w:ascii="Calibri" w:hAnsi="Calibri"/>
          <w:color w:val="7A1F2B"/>
        </w:rPr>
        <w:t>5. Contract facts (unchanged)</w:t>
      </w:r>
    </w:p>
    <w:p>
      <w:pPr>
        <w:spacing w:after="160"/>
      </w:pPr>
      <w:r>
        <w:rPr>
          <w:rFonts w:ascii="Calibri" w:hAnsi="Calibri" w:eastAsia="Calibri"/>
          <w:b w:val="0"/>
          <w:i w:val="0"/>
          <w:color w:val="1A1A1A"/>
          <w:sz w:val="22"/>
        </w:rPr>
        <w:t>Source: the same opinion, paragraphs 10–12.</w:t>
      </w:r>
    </w:p>
    <w:tbl>
      <w:tblPr>
        <w:tblStyle w:val="TableGrid"/>
        <w:tblW w:type="auto" w:w="0"/>
        <w:tblLook w:firstColumn="1" w:firstRow="1" w:lastColumn="0" w:lastRow="0" w:noHBand="0" w:noVBand="1" w:val="04A0"/>
      </w:tblPr>
      <w:tblGrid>
        <w:gridCol w:w="2521"/>
        <w:gridCol w:w="2521"/>
        <w:gridCol w:w="2521"/>
        <w:gridCol w:w="2521"/>
      </w:tblGrid>
      <w:tr>
        <w:tc>
          <w:tcPr>
            <w:tcW w:type="dxa" w:w="2521"/>
            <w:shd w:fill="7A1F2B" w:val="clear"/>
          </w:tcPr>
          <w:p>
            <w:pPr>
              <w:spacing w:after="40" w:before="40"/>
            </w:pPr>
            <w:r/>
            <w:r>
              <w:rPr>
                <w:rFonts w:ascii="Calibri" w:hAnsi="Calibri" w:eastAsia="Calibri"/>
                <w:b/>
                <w:i w:val="0"/>
                <w:color w:val="FFFFFF"/>
                <w:sz w:val="20"/>
              </w:rPr>
              <w:t>Site</w:t>
            </w:r>
          </w:p>
        </w:tc>
        <w:tc>
          <w:tcPr>
            <w:tcW w:type="dxa" w:w="2521"/>
            <w:shd w:fill="7A1F2B" w:val="clear"/>
          </w:tcPr>
          <w:p>
            <w:pPr>
              <w:spacing w:after="40" w:before="40"/>
            </w:pPr>
            <w:r/>
            <w:r>
              <w:rPr>
                <w:rFonts w:ascii="Calibri" w:hAnsi="Calibri" w:eastAsia="Calibri"/>
                <w:b/>
                <w:i w:val="0"/>
                <w:color w:val="FFFFFF"/>
                <w:sz w:val="20"/>
              </w:rPr>
              <w:t>Signed</w:t>
            </w:r>
          </w:p>
        </w:tc>
        <w:tc>
          <w:tcPr>
            <w:tcW w:type="dxa" w:w="2521"/>
            <w:shd w:fill="7A1F2B" w:val="clear"/>
          </w:tcPr>
          <w:p>
            <w:pPr>
              <w:spacing w:after="40" w:before="40"/>
            </w:pPr>
            <w:r/>
            <w:r>
              <w:rPr>
                <w:rFonts w:ascii="Calibri" w:hAnsi="Calibri" w:eastAsia="Calibri"/>
                <w:b/>
                <w:i w:val="0"/>
                <w:color w:val="FFFFFF"/>
                <w:sz w:val="20"/>
              </w:rPr>
              <w:t>Supply</w:t>
            </w:r>
          </w:p>
        </w:tc>
        <w:tc>
          <w:tcPr>
            <w:tcW w:type="dxa" w:w="2521"/>
            <w:shd w:fill="7A1F2B" w:val="clear"/>
          </w:tcPr>
          <w:p>
            <w:pPr>
              <w:spacing w:after="40" w:before="40"/>
            </w:pPr>
            <w:r/>
            <w:r>
              <w:rPr>
                <w:rFonts w:ascii="Calibri" w:hAnsi="Calibri" w:eastAsia="Calibri"/>
                <w:b/>
                <w:i w:val="0"/>
                <w:color w:val="FFFFFF"/>
                <w:sz w:val="20"/>
              </w:rPr>
              <w:t>Contract unit rate</w:t>
            </w:r>
          </w:p>
        </w:tc>
      </w:tr>
      <w:tr>
        <w:tc>
          <w:tcPr>
            <w:tcW w:type="dxa" w:w="2521"/>
          </w:tcPr>
          <w:p>
            <w:pPr>
              <w:spacing w:after="40" w:before="40"/>
            </w:pPr>
            <w:r/>
            <w:r>
              <w:rPr>
                <w:rFonts w:ascii="Calibri" w:hAnsi="Calibri" w:eastAsia="Calibri"/>
                <w:b w:val="0"/>
                <w:i w:val="0"/>
                <w:color w:val="1A1A1A"/>
                <w:sz w:val="20"/>
              </w:rPr>
              <w:t>Supertex Furnishing</w:t>
            </w:r>
          </w:p>
        </w:tc>
        <w:tc>
          <w:tcPr>
            <w:tcW w:type="dxa" w:w="2521"/>
          </w:tcPr>
          <w:p>
            <w:pPr>
              <w:spacing w:after="40" w:before="40"/>
            </w:pPr>
            <w:r/>
            <w:r>
              <w:rPr>
                <w:rFonts w:ascii="Calibri" w:hAnsi="Calibri" w:eastAsia="Calibri"/>
                <w:b w:val="0"/>
                <w:i w:val="0"/>
                <w:color w:val="1A1A1A"/>
                <w:sz w:val="20"/>
              </w:rPr>
              <w:t>24 June 2021</w:t>
            </w:r>
          </w:p>
        </w:tc>
        <w:tc>
          <w:tcPr>
            <w:tcW w:type="dxa" w:w="2521"/>
          </w:tcPr>
          <w:p>
            <w:pPr>
              <w:spacing w:after="40" w:before="40"/>
            </w:pPr>
            <w:r/>
            <w:r>
              <w:rPr>
                <w:rFonts w:ascii="Calibri" w:hAnsi="Calibri" w:eastAsia="Calibri"/>
                <w:b w:val="0"/>
                <w:i w:val="0"/>
                <w:color w:val="1A1A1A"/>
                <w:sz w:val="20"/>
              </w:rPr>
              <w:t>1 April 2022 – 30 September 2026</w:t>
            </w:r>
          </w:p>
        </w:tc>
        <w:tc>
          <w:tcPr>
            <w:tcW w:type="dxa" w:w="2521"/>
          </w:tcPr>
          <w:p>
            <w:pPr>
              <w:spacing w:after="40" w:before="40"/>
            </w:pPr>
            <w:r/>
            <w:r>
              <w:rPr>
                <w:rFonts w:ascii="Calibri" w:hAnsi="Calibri" w:eastAsia="Calibri"/>
                <w:b w:val="0"/>
                <w:i w:val="0"/>
                <w:color w:val="1A1A1A"/>
                <w:sz w:val="20"/>
              </w:rPr>
              <w:t>20.500 p/kWh</w:t>
            </w:r>
          </w:p>
        </w:tc>
      </w:tr>
      <w:tr>
        <w:tc>
          <w:tcPr>
            <w:tcW w:type="dxa" w:w="2521"/>
            <w:shd w:fill="F4EFE6" w:val="clear"/>
          </w:tcPr>
          <w:p>
            <w:pPr>
              <w:spacing w:after="40" w:before="40"/>
            </w:pPr>
            <w:r/>
            <w:r>
              <w:rPr>
                <w:rFonts w:ascii="Calibri" w:hAnsi="Calibri" w:eastAsia="Calibri"/>
                <w:b w:val="0"/>
                <w:i w:val="0"/>
                <w:color w:val="1A1A1A"/>
                <w:sz w:val="20"/>
              </w:rPr>
              <w:t>Unit 2</w:t>
            </w:r>
          </w:p>
        </w:tc>
        <w:tc>
          <w:tcPr>
            <w:tcW w:type="dxa" w:w="2521"/>
            <w:shd w:fill="F4EFE6" w:val="clear"/>
          </w:tcPr>
          <w:p>
            <w:pPr>
              <w:spacing w:after="40" w:before="40"/>
            </w:pPr>
            <w:r/>
            <w:r>
              <w:rPr>
                <w:rFonts w:ascii="Calibri" w:hAnsi="Calibri" w:eastAsia="Calibri"/>
                <w:b w:val="0"/>
                <w:i w:val="0"/>
                <w:color w:val="1A1A1A"/>
                <w:sz w:val="20"/>
              </w:rPr>
              <w:t>10 May 2021</w:t>
            </w:r>
          </w:p>
        </w:tc>
        <w:tc>
          <w:tcPr>
            <w:tcW w:type="dxa" w:w="2521"/>
            <w:shd w:fill="F4EFE6" w:val="clear"/>
          </w:tcPr>
          <w:p>
            <w:pPr>
              <w:spacing w:after="40" w:before="40"/>
            </w:pPr>
            <w:r/>
            <w:r>
              <w:rPr>
                <w:rFonts w:ascii="Calibri" w:hAnsi="Calibri" w:eastAsia="Calibri"/>
                <w:b w:val="0"/>
                <w:i w:val="0"/>
                <w:color w:val="1A1A1A"/>
                <w:sz w:val="20"/>
              </w:rPr>
              <w:t>14 May 2021 – 30 September 2026</w:t>
            </w:r>
          </w:p>
        </w:tc>
        <w:tc>
          <w:tcPr>
            <w:tcW w:type="dxa" w:w="2521"/>
            <w:shd w:fill="F4EFE6" w:val="clear"/>
          </w:tcPr>
          <w:p>
            <w:pPr>
              <w:spacing w:after="40" w:before="40"/>
            </w:pPr>
            <w:r/>
            <w:r>
              <w:rPr>
                <w:rFonts w:ascii="Calibri" w:hAnsi="Calibri" w:eastAsia="Calibri"/>
                <w:b w:val="0"/>
                <w:i w:val="0"/>
                <w:color w:val="1A1A1A"/>
                <w:sz w:val="20"/>
              </w:rPr>
              <w:t>19.9999 p/kWh</w:t>
            </w:r>
          </w:p>
        </w:tc>
      </w:tr>
      <w:tr>
        <w:tc>
          <w:tcPr>
            <w:tcW w:type="dxa" w:w="2521"/>
          </w:tcPr>
          <w:p>
            <w:pPr>
              <w:spacing w:after="40" w:before="40"/>
            </w:pPr>
            <w:r/>
            <w:r>
              <w:rPr>
                <w:rFonts w:ascii="Calibri" w:hAnsi="Calibri" w:eastAsia="Calibri"/>
                <w:b w:val="0"/>
                <w:i w:val="0"/>
                <w:color w:val="1A1A1A"/>
                <w:sz w:val="20"/>
              </w:rPr>
              <w:t>Unit 3</w:t>
            </w:r>
          </w:p>
        </w:tc>
        <w:tc>
          <w:tcPr>
            <w:tcW w:type="dxa" w:w="2521"/>
          </w:tcPr>
          <w:p>
            <w:pPr>
              <w:spacing w:after="40" w:before="40"/>
            </w:pPr>
            <w:r/>
            <w:r>
              <w:rPr>
                <w:rFonts w:ascii="Calibri" w:hAnsi="Calibri" w:eastAsia="Calibri"/>
                <w:b w:val="0"/>
                <w:i w:val="0"/>
                <w:color w:val="1A1A1A"/>
                <w:sz w:val="20"/>
              </w:rPr>
              <w:t>6 May 2021</w:t>
            </w:r>
          </w:p>
        </w:tc>
        <w:tc>
          <w:tcPr>
            <w:tcW w:type="dxa" w:w="2521"/>
          </w:tcPr>
          <w:p>
            <w:pPr>
              <w:spacing w:after="40" w:before="40"/>
            </w:pPr>
            <w:r/>
            <w:r>
              <w:rPr>
                <w:rFonts w:ascii="Calibri" w:hAnsi="Calibri" w:eastAsia="Calibri"/>
                <w:b w:val="0"/>
                <w:i w:val="0"/>
                <w:color w:val="1A1A1A"/>
                <w:sz w:val="20"/>
              </w:rPr>
              <w:t>1 October 2023 – 30 September 2026</w:t>
            </w:r>
          </w:p>
        </w:tc>
        <w:tc>
          <w:tcPr>
            <w:tcW w:type="dxa" w:w="2521"/>
          </w:tcPr>
          <w:p>
            <w:pPr>
              <w:spacing w:after="40" w:before="40"/>
            </w:pPr>
            <w:r/>
            <w:r>
              <w:rPr>
                <w:rFonts w:ascii="Calibri" w:hAnsi="Calibri" w:eastAsia="Calibri"/>
                <w:b w:val="0"/>
                <w:i w:val="0"/>
                <w:color w:val="1A1A1A"/>
                <w:sz w:val="20"/>
              </w:rPr>
              <w:t>Day 17.6758 p/kWh, night 15.8229 p/kWh</w:t>
            </w:r>
          </w:p>
        </w:tc>
      </w:tr>
    </w:tbl>
    <w:p/>
    <w:p>
      <w:pPr>
        <w:pStyle w:val="Heading1"/>
      </w:pPr>
      <w:r>
        <w:rPr>
          <w:rFonts w:ascii="Calibri" w:hAnsi="Calibri"/>
          <w:color w:val="7A1F2B"/>
        </w:rPr>
        <w:t>6. Still needed if you want A, C and D in pounds</w:t>
      </w:r>
    </w:p>
    <w:tbl>
      <w:tblPr>
        <w:tblStyle w:val="TableGrid"/>
        <w:tblW w:type="auto" w:w="0"/>
        <w:tblLook w:firstColumn="1" w:firstRow="1" w:lastColumn="0" w:lastRow="0" w:noHBand="0" w:noVBand="1" w:val="04A0"/>
      </w:tblPr>
      <w:tblGrid>
        <w:gridCol w:w="5043"/>
        <w:gridCol w:w="5043"/>
      </w:tblGrid>
      <w:tr>
        <w:tc>
          <w:tcPr>
            <w:tcW w:type="dxa" w:w="5043"/>
            <w:shd w:fill="7A1F2B" w:val="clear"/>
          </w:tcPr>
          <w:p>
            <w:pPr>
              <w:spacing w:after="40" w:before="40"/>
            </w:pPr>
            <w:r/>
            <w:r>
              <w:rPr>
                <w:rFonts w:ascii="Calibri" w:hAnsi="Calibri" w:eastAsia="Calibri"/>
                <w:b/>
                <w:i w:val="0"/>
                <w:color w:val="FFFFFF"/>
                <w:sz w:val="20"/>
              </w:rPr>
              <w:t>Missing</w:t>
            </w:r>
          </w:p>
        </w:tc>
        <w:tc>
          <w:tcPr>
            <w:tcW w:type="dxa" w:w="5043"/>
            <w:shd w:fill="7A1F2B" w:val="clear"/>
          </w:tcPr>
          <w:p>
            <w:pPr>
              <w:spacing w:after="40" w:before="40"/>
            </w:pPr>
            <w:r/>
            <w:r>
              <w:rPr>
                <w:rFonts w:ascii="Calibri" w:hAnsi="Calibri" w:eastAsia="Calibri"/>
                <w:b/>
                <w:i w:val="0"/>
                <w:color w:val="FFFFFF"/>
                <w:sz w:val="20"/>
              </w:rPr>
              <w:t>Action</w:t>
            </w:r>
          </w:p>
        </w:tc>
      </w:tr>
      <w:tr>
        <w:tc>
          <w:tcPr>
            <w:tcW w:type="dxa" w:w="5043"/>
          </w:tcPr>
          <w:p>
            <w:pPr>
              <w:spacing w:after="40" w:before="40"/>
            </w:pPr>
            <w:r/>
            <w:r>
              <w:rPr>
                <w:rFonts w:ascii="Calibri" w:hAnsi="Calibri" w:eastAsia="Calibri"/>
                <w:b w:val="0"/>
                <w:i w:val="0"/>
                <w:color w:val="1A1A1A"/>
                <w:sz w:val="20"/>
              </w:rPr>
              <w:t>Mersenne workbook KWS.012</w:t>
            </w:r>
          </w:p>
        </w:tc>
        <w:tc>
          <w:tcPr>
            <w:tcW w:type="dxa" w:w="5043"/>
          </w:tcPr>
          <w:p>
            <w:pPr>
              <w:spacing w:after="40" w:before="40"/>
            </w:pPr>
            <w:r/>
            <w:r>
              <w:rPr>
                <w:rFonts w:ascii="Calibri" w:hAnsi="Calibri" w:eastAsia="Calibri"/>
                <w:b w:val="0"/>
                <w:i w:val="0"/>
                <w:color w:val="1A1A1A"/>
                <w:sz w:val="20"/>
              </w:rPr>
              <w:t>The line-by-line A, wholesale, standing charges and interest build would close the unsplit cells without guessing. Please send that file if you have it.</w:t>
            </w:r>
          </w:p>
        </w:tc>
      </w:tr>
      <w:tr>
        <w:tc>
          <w:tcPr>
            <w:tcW w:type="dxa" w:w="5043"/>
            <w:shd w:fill="F4EFE6" w:val="clear"/>
          </w:tcPr>
          <w:p>
            <w:pPr>
              <w:spacing w:after="40" w:before="40"/>
            </w:pPr>
            <w:r/>
            <w:r>
              <w:rPr>
                <w:rFonts w:ascii="Calibri" w:hAnsi="Calibri" w:eastAsia="Calibri"/>
                <w:b w:val="0"/>
                <w:i w:val="0"/>
                <w:color w:val="1A1A1A"/>
                <w:sz w:val="20"/>
              </w:rPr>
              <w:t>The three sites’ bills</w:t>
            </w:r>
          </w:p>
        </w:tc>
        <w:tc>
          <w:tcPr>
            <w:tcW w:type="dxa" w:w="5043"/>
            <w:shd w:fill="F4EFE6" w:val="clear"/>
          </w:tcPr>
          <w:p>
            <w:pPr>
              <w:spacing w:after="40" w:before="40"/>
            </w:pPr>
            <w:r/>
            <w:r>
              <w:rPr>
                <w:rFonts w:ascii="Calibri" w:hAnsi="Calibri" w:eastAsia="Calibri"/>
                <w:b w:val="0"/>
                <w:i w:val="0"/>
                <w:color w:val="1A1A1A"/>
                <w:sz w:val="20"/>
              </w:rPr>
              <w:t>Actual kWh and invoice totals for A.</w:t>
            </w:r>
          </w:p>
        </w:tc>
      </w:tr>
      <w:tr>
        <w:tc>
          <w:tcPr>
            <w:tcW w:type="dxa" w:w="5043"/>
          </w:tcPr>
          <w:p>
            <w:pPr>
              <w:spacing w:after="40" w:before="40"/>
            </w:pPr>
            <w:r/>
            <w:r>
              <w:rPr>
                <w:rFonts w:ascii="Calibri" w:hAnsi="Calibri" w:eastAsia="Calibri"/>
                <w:b w:val="0"/>
                <w:i w:val="0"/>
                <w:color w:val="1A1A1A"/>
                <w:sz w:val="20"/>
              </w:rPr>
              <w:t>Engie cost build-up</w:t>
            </w:r>
          </w:p>
        </w:tc>
        <w:tc>
          <w:tcPr>
            <w:tcW w:type="dxa" w:w="5043"/>
          </w:tcPr>
          <w:p>
            <w:pPr>
              <w:spacing w:after="40" w:before="40"/>
            </w:pPr>
            <w:r/>
            <w:r>
              <w:rPr>
                <w:rFonts w:ascii="Calibri" w:hAnsi="Calibri" w:eastAsia="Calibri"/>
                <w:b w:val="0"/>
                <w:i w:val="0"/>
                <w:color w:val="1A1A1A"/>
                <w:sz w:val="20"/>
              </w:rPr>
              <w:t>Actual C and D, to retire the 40% proxy.</w:t>
            </w:r>
          </w:p>
        </w:tc>
      </w:tr>
      <w:tr>
        <w:tc>
          <w:tcPr>
            <w:tcW w:type="dxa" w:w="5043"/>
            <w:shd w:fill="F4EFE6" w:val="clear"/>
          </w:tcPr>
          <w:p>
            <w:pPr>
              <w:spacing w:after="40" w:before="40"/>
            </w:pPr>
            <w:r/>
            <w:r>
              <w:rPr>
                <w:rFonts w:ascii="Calibri" w:hAnsi="Calibri" w:eastAsia="Calibri"/>
                <w:b w:val="0"/>
                <w:i w:val="0"/>
                <w:color w:val="1A1A1A"/>
                <w:sz w:val="20"/>
              </w:rPr>
              <w:t>Commission ledger</w:t>
            </w:r>
          </w:p>
        </w:tc>
        <w:tc>
          <w:tcPr>
            <w:tcW w:type="dxa" w:w="5043"/>
            <w:shd w:fill="F4EFE6" w:val="clear"/>
          </w:tcPr>
          <w:p>
            <w:pPr>
              <w:spacing w:after="40" w:before="40"/>
            </w:pPr>
            <w:r/>
            <w:r>
              <w:rPr>
                <w:rFonts w:ascii="Calibri" w:hAnsi="Calibri" w:eastAsia="Calibri"/>
                <w:b w:val="0"/>
                <w:i w:val="0"/>
                <w:color w:val="1A1A1A"/>
                <w:sz w:val="20"/>
              </w:rPr>
              <w:t>The floor figure Mersenne did not print.</w:t>
            </w:r>
          </w:p>
        </w:tc>
      </w:tr>
    </w:tbl>
    <w:p/>
    <w:p>
      <w:pPr>
        <w:pStyle w:val="Heading1"/>
      </w:pPr>
      <w:r>
        <w:rPr>
          <w:rFonts w:ascii="Calibri" w:hAnsi="Calibri"/>
          <w:color w:val="7A1F2B"/>
        </w:rPr>
        <w:t>7. Headline numbers to carry forward</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Use</w:t>
            </w:r>
          </w:p>
        </w:tc>
        <w:tc>
          <w:tcPr>
            <w:tcW w:type="dxa" w:w="3362"/>
            <w:shd w:fill="7A1F2B" w:val="clear"/>
          </w:tcPr>
          <w:p>
            <w:pPr>
              <w:spacing w:after="40" w:before="40"/>
            </w:pPr>
            <w:r/>
            <w:r>
              <w:rPr>
                <w:rFonts w:ascii="Calibri" w:hAnsi="Calibri" w:eastAsia="Calibri"/>
                <w:b/>
                <w:i w:val="0"/>
                <w:color w:val="FFFFFF"/>
                <w:sz w:val="20"/>
              </w:rPr>
              <w:t>Figure</w:t>
            </w:r>
          </w:p>
        </w:tc>
        <w:tc>
          <w:tcPr>
            <w:tcW w:type="dxa" w:w="3362"/>
            <w:shd w:fill="7A1F2B" w:val="clear"/>
          </w:tcPr>
          <w:p>
            <w:pPr>
              <w:spacing w:after="40" w:before="40"/>
            </w:pPr>
            <w:r/>
            <w:r>
              <w:rPr>
                <w:rFonts w:ascii="Calibri" w:hAnsi="Calibri" w:eastAsia="Calibri"/>
                <w:b/>
                <w:i w:val="0"/>
                <w:color w:val="FFFFFF"/>
                <w:sz w:val="20"/>
              </w:rPr>
              <w:t>Mark</w:t>
            </w:r>
          </w:p>
        </w:tc>
      </w:tr>
      <w:tr>
        <w:tc>
          <w:tcPr>
            <w:tcW w:type="dxa" w:w="3362"/>
          </w:tcPr>
          <w:p>
            <w:pPr>
              <w:spacing w:after="40" w:before="40"/>
            </w:pPr>
            <w:r/>
            <w:r>
              <w:rPr>
                <w:rFonts w:ascii="Calibri" w:hAnsi="Calibri" w:eastAsia="Calibri"/>
                <w:b w:val="0"/>
                <w:i w:val="0"/>
                <w:color w:val="1A1A1A"/>
                <w:sz w:val="20"/>
              </w:rPr>
              <w:t>Wood proxy to 30 September 2026</w:t>
            </w:r>
          </w:p>
        </w:tc>
        <w:tc>
          <w:tcPr>
            <w:tcW w:type="dxa" w:w="3362"/>
          </w:tcPr>
          <w:p>
            <w:pPr>
              <w:spacing w:after="40" w:before="40"/>
            </w:pPr>
            <w:r/>
            <w:r>
              <w:rPr>
                <w:rFonts w:ascii="Calibri" w:hAnsi="Calibri" w:eastAsia="Calibri"/>
                <w:b w:val="0"/>
                <w:i w:val="0"/>
                <w:color w:val="1A1A1A"/>
                <w:sz w:val="20"/>
              </w:rPr>
              <w:t>£82,419.25</w:t>
            </w:r>
          </w:p>
        </w:tc>
        <w:tc>
          <w:tcPr>
            <w:tcW w:type="dxa" w:w="3362"/>
          </w:tcPr>
          <w:p>
            <w:pPr>
              <w:spacing w:after="40" w:before="40"/>
            </w:pPr>
            <w:r/>
            <w:r>
              <w:rPr>
                <w:rFonts w:ascii="Calibri" w:hAnsi="Calibri" w:eastAsia="Calibri"/>
                <w:b w:val="0"/>
                <w:i w:val="0"/>
                <w:color w:val="1A1A1A"/>
                <w:sz w:val="20"/>
              </w:rPr>
              <w:t>Mersenne fair-cost total, used as (A+B)−(C+D+E) under the 40% / 8% proxies</w:t>
            </w:r>
          </w:p>
        </w:tc>
      </w:tr>
      <w:tr>
        <w:tc>
          <w:tcPr>
            <w:tcW w:type="dxa" w:w="3362"/>
            <w:shd w:fill="F4EFE6" w:val="clear"/>
          </w:tcPr>
          <w:p>
            <w:pPr>
              <w:spacing w:after="40" w:before="40"/>
            </w:pPr>
            <w:r/>
            <w:r>
              <w:rPr>
                <w:rFonts w:ascii="Calibri" w:hAnsi="Calibri" w:eastAsia="Calibri"/>
                <w:b w:val="0"/>
                <w:i w:val="0"/>
                <w:color w:val="1A1A1A"/>
                <w:sz w:val="20"/>
              </w:rPr>
              <w:t>Same working to 20 May 2026</w:t>
            </w:r>
          </w:p>
        </w:tc>
        <w:tc>
          <w:tcPr>
            <w:tcW w:type="dxa" w:w="3362"/>
            <w:shd w:fill="F4EFE6" w:val="clear"/>
          </w:tcPr>
          <w:p>
            <w:pPr>
              <w:spacing w:after="40" w:before="40"/>
            </w:pPr>
            <w:r/>
            <w:r>
              <w:rPr>
                <w:rFonts w:ascii="Calibri" w:hAnsi="Calibri" w:eastAsia="Calibri"/>
                <w:b w:val="0"/>
                <w:i w:val="0"/>
                <w:color w:val="1A1A1A"/>
                <w:sz w:val="20"/>
              </w:rPr>
              <w:t>£74,219.59</w:t>
            </w:r>
          </w:p>
        </w:tc>
        <w:tc>
          <w:tcPr>
            <w:tcW w:type="dxa" w:w="3362"/>
            <w:shd w:fill="F4EFE6" w:val="clear"/>
          </w:tcPr>
          <w:p>
            <w:pPr>
              <w:spacing w:after="40" w:before="40"/>
            </w:pPr>
            <w:r/>
            <w:r>
              <w:rPr>
                <w:rFonts w:ascii="Calibri" w:hAnsi="Calibri" w:eastAsia="Calibri"/>
                <w:b w:val="0"/>
                <w:i w:val="0"/>
                <w:color w:val="1A1A1A"/>
                <w:sz w:val="20"/>
              </w:rPr>
              <w:t>Mersenne accrued total</w:t>
            </w:r>
          </w:p>
        </w:tc>
      </w:tr>
      <w:tr>
        <w:tc>
          <w:tcPr>
            <w:tcW w:type="dxa" w:w="3362"/>
          </w:tcPr>
          <w:p>
            <w:pPr>
              <w:spacing w:after="40" w:before="40"/>
            </w:pPr>
            <w:r/>
            <w:r>
              <w:rPr>
                <w:rFonts w:ascii="Calibri" w:hAnsi="Calibri" w:eastAsia="Calibri"/>
                <w:b w:val="0"/>
                <w:i w:val="0"/>
                <w:color w:val="1A1A1A"/>
                <w:sz w:val="20"/>
              </w:rPr>
              <w:t>B and E rate</w:t>
            </w:r>
          </w:p>
        </w:tc>
        <w:tc>
          <w:tcPr>
            <w:tcW w:type="dxa" w:w="3362"/>
          </w:tcPr>
          <w:p>
            <w:pPr>
              <w:spacing w:after="40" w:before="40"/>
            </w:pPr>
            <w:r/>
            <w:r>
              <w:rPr>
                <w:rFonts w:ascii="Calibri" w:hAnsi="Calibri" w:eastAsia="Calibri"/>
                <w:b w:val="0"/>
                <w:i w:val="0"/>
                <w:color w:val="1A1A1A"/>
                <w:sz w:val="20"/>
              </w:rPr>
              <w:t>8%</w:t>
            </w:r>
          </w:p>
        </w:tc>
        <w:tc>
          <w:tcPr>
            <w:tcW w:type="dxa" w:w="3362"/>
          </w:tcPr>
          <w:p>
            <w:pPr>
              <w:spacing w:after="40" w:before="40"/>
            </w:pPr>
            <w:r/>
            <w:r>
              <w:rPr>
                <w:rFonts w:ascii="Calibri" w:hAnsi="Calibri" w:eastAsia="Calibri"/>
                <w:b w:val="0"/>
                <w:i w:val="0"/>
                <w:color w:val="1A1A1A"/>
                <w:sz w:val="20"/>
              </w:rPr>
              <w:t>Mersenne</w:t>
            </w:r>
          </w:p>
        </w:tc>
      </w:tr>
      <w:tr>
        <w:tc>
          <w:tcPr>
            <w:tcW w:type="dxa" w:w="3362"/>
            <w:shd w:fill="F4EFE6" w:val="clear"/>
          </w:tcPr>
          <w:p>
            <w:pPr>
              <w:spacing w:after="40" w:before="40"/>
            </w:pPr>
            <w:r/>
            <w:r>
              <w:rPr>
                <w:rFonts w:ascii="Calibri" w:hAnsi="Calibri" w:eastAsia="Calibri"/>
                <w:b w:val="0"/>
                <w:i w:val="0"/>
                <w:color w:val="1A1A1A"/>
                <w:sz w:val="20"/>
              </w:rPr>
              <w:t>D proxy</w:t>
            </w:r>
          </w:p>
        </w:tc>
        <w:tc>
          <w:tcPr>
            <w:tcW w:type="dxa" w:w="3362"/>
            <w:shd w:fill="F4EFE6" w:val="clear"/>
          </w:tcPr>
          <w:p>
            <w:pPr>
              <w:spacing w:after="40" w:before="40"/>
            </w:pPr>
            <w:r/>
            <w:r>
              <w:rPr>
                <w:rFonts w:ascii="Calibri" w:hAnsi="Calibri" w:eastAsia="Calibri"/>
                <w:b w:val="0"/>
                <w:i w:val="0"/>
                <w:color w:val="1A1A1A"/>
                <w:sz w:val="20"/>
              </w:rPr>
              <w:t>40% of wholesale</w:t>
            </w:r>
          </w:p>
        </w:tc>
        <w:tc>
          <w:tcPr>
            <w:tcW w:type="dxa" w:w="3362"/>
            <w:shd w:fill="F4EFE6" w:val="clear"/>
          </w:tcPr>
          <w:p>
            <w:pPr>
              <w:spacing w:after="40" w:before="40"/>
            </w:pPr>
            <w:r/>
            <w:r>
              <w:rPr>
                <w:rFonts w:ascii="Calibri" w:hAnsi="Calibri" w:eastAsia="Calibri"/>
                <w:b w:val="0"/>
                <w:i w:val="0"/>
                <w:color w:val="1A1A1A"/>
                <w:sz w:val="20"/>
              </w:rPr>
              <w:t>Mersenne uplift; not actual delivery cost</w:t>
            </w:r>
          </w:p>
        </w:tc>
      </w:tr>
      <w:tr>
        <w:tc>
          <w:tcPr>
            <w:tcW w:type="dxa" w:w="3362"/>
          </w:tcPr>
          <w:p>
            <w:pPr>
              <w:spacing w:after="40" w:before="40"/>
            </w:pPr>
            <w:r/>
            <w:r>
              <w:rPr>
                <w:rFonts w:ascii="Calibri" w:hAnsi="Calibri" w:eastAsia="Calibri"/>
                <w:b w:val="0"/>
                <w:i w:val="0"/>
                <w:color w:val="1A1A1A"/>
                <w:sz w:val="20"/>
              </w:rPr>
              <w:t>Broker remuneration</w:t>
            </w:r>
          </w:p>
        </w:tc>
        <w:tc>
          <w:tcPr>
            <w:tcW w:type="dxa" w:w="3362"/>
          </w:tcPr>
          <w:p>
            <w:pPr>
              <w:spacing w:after="40" w:before="40"/>
            </w:pPr>
            <w:r/>
            <w:r>
              <w:rPr>
                <w:rFonts w:ascii="Calibri" w:hAnsi="Calibri" w:eastAsia="Calibri"/>
                <w:b w:val="0"/>
                <w:i w:val="0"/>
                <w:color w:val="1A1A1A"/>
                <w:sz w:val="20"/>
              </w:rPr>
              <w:t>Blank</w:t>
            </w:r>
          </w:p>
        </w:tc>
        <w:tc>
          <w:tcPr>
            <w:tcW w:type="dxa" w:w="3362"/>
          </w:tcPr>
          <w:p>
            <w:pPr>
              <w:spacing w:after="40" w:before="40"/>
            </w:pPr>
            <w:r/>
            <w:r>
              <w:rPr>
                <w:rFonts w:ascii="Calibri" w:hAnsi="Calibri" w:eastAsia="Calibri"/>
                <w:b w:val="0"/>
                <w:i w:val="0"/>
                <w:color w:val="1A1A1A"/>
                <w:sz w:val="20"/>
              </w:rPr>
              <w:t>Not in Mersenne as cited</w:t>
            </w:r>
          </w:p>
        </w:tc>
      </w:tr>
    </w:tbl>
    <w:p/>
    <w:p>
      <w:pPr>
        <w:spacing w:after="160"/>
      </w:pPr>
      <w:r>
        <w:rPr>
          <w:rFonts w:ascii="Calibri" w:hAnsi="Calibri" w:eastAsia="Calibri"/>
          <w:b/>
          <w:i w:val="0"/>
          <w:color w:val="1A1A1A"/>
          <w:sz w:val="22"/>
        </w:rPr>
        <w:t>Possible? Yes, for the net and the rates. Not possible, from this pack alone, to print A, C and D as separate pound figures. That is why those three remain unsplit rather than invented.</w:t>
      </w:r>
    </w:p>
    <w:sectPr w:rsidR="00FC693F" w:rsidRPr="0006063C" w:rsidSect="00034616">
      <w:headerReference w:type="default" r:id="rId9"/>
      <w:footerReference w:type="default" r:id="rId10"/>
      <w:pgSz w:w="12240" w:h="15840"/>
      <w:pgMar w:top="1474" w:right="1077" w:bottom="1020" w:left="1077" w:header="283"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Calibri" w:hAnsi="Calibri" w:eastAsia="Calibri"/>
        <w:b w:val="0"/>
        <w:i w:val="0"/>
        <w:color w:val="4A4A4A"/>
        <w:sz w:val="16"/>
      </w:rPr>
      <w:t>Quantum note  ·  19 August 2026  ·  Not legal advice  ·  Not an expert report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crimson-horse-logo.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i w:val="0"/>
        <w:color w:val="7A1F2B"/>
        <w:sz w:val="18"/>
      </w:rPr>
      <w:t xml:space="preserve">    CRIMSON HORSE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