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A1F2B"/>
          <w:sz w:val="24"/>
        </w:rPr>
        <w:t>Crimson Horse</w:t>
      </w:r>
    </w:p>
    <w:p>
      <w:pPr>
        <w:jc w:val="center"/>
      </w:pPr>
      <w:r>
        <w:rPr>
          <w:b/>
          <w:sz w:val="36"/>
        </w:rPr>
        <w:t>Quantum Valuation (raw)</w:t>
      </w:r>
    </w:p>
    <w:p>
      <w:pPr>
        <w:jc w:val="center"/>
      </w:pPr>
      <w:r>
        <w:rPr>
          <w:sz w:val="26"/>
        </w:rPr>
        <w:t>Whitmore's Timber Co. Limited — ENGIE / Haven papers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Whitmore's Timber Co. Limited — 02359578</w:t>
            </w:r>
          </w:p>
        </w:tc>
      </w:tr>
      <w:tr>
        <w:tc>
          <w:tcPr>
            <w:tcW w:type="dxa" w:w="4703"/>
          </w:tcPr>
          <w:p>
            <w:r>
              <w:t>Sites on ENGIE quote</w:t>
            </w:r>
          </w:p>
        </w:tc>
        <w:tc>
          <w:tcPr>
            <w:tcW w:type="dxa" w:w="4703"/>
          </w:tcPr>
          <w:p>
            <w:r>
              <w:t>Whitmores Timber Co Limited; Smee Timber Ltd</w:t>
            </w:r>
          </w:p>
        </w:tc>
      </w:tr>
      <w:tr>
        <w:tc>
          <w:tcPr>
            <w:tcW w:type="dxa" w:w="4703"/>
          </w:tcPr>
          <w:p>
            <w:r>
              <w:t>Suppliers in this pack</w:t>
            </w:r>
          </w:p>
        </w:tc>
        <w:tc>
          <w:tcPr>
            <w:tcW w:type="dxa" w:w="4703"/>
          </w:tcPr>
          <w:p>
            <w:r>
              <w:t>ENGIE Power Limited; Haven Power Limited</w:t>
            </w:r>
          </w:p>
        </w:tc>
      </w:tr>
      <w:tr>
        <w:tc>
          <w:tcPr>
            <w:tcW w:type="dxa" w:w="4703"/>
          </w:tcPr>
          <w:p>
            <w:r>
              <w:t>Brokers named</w:t>
            </w:r>
          </w:p>
        </w:tc>
        <w:tc>
          <w:tcPr>
            <w:tcW w:type="dxa" w:w="4703"/>
          </w:tcPr>
          <w:p>
            <w:r>
              <w:t>Arbeia Energy / Utility Bidder (ENGIE); TUS Ltd (Haven)</w:t>
            </w:r>
          </w:p>
        </w:tc>
      </w:tr>
      <w:tr>
        <w:tc>
          <w:tcPr>
            <w:tcW w:type="dxa" w:w="4703"/>
          </w:tcPr>
          <w:p>
            <w:r>
              <w:t>Date of valuation</w:t>
            </w:r>
          </w:p>
        </w:tc>
        <w:tc>
          <w:tcPr>
            <w:tcW w:type="dxa" w:w="4703"/>
          </w:tcPr>
          <w:p>
            <w:r>
              <w:t>18 August 2026</w:t>
            </w:r>
          </w:p>
        </w:tc>
      </w:tr>
      <w:tr>
        <w:tc>
          <w:tcPr>
            <w:tcW w:type="dxa" w:w="4703"/>
          </w:tcPr>
          <w:p>
            <w:r>
              <w:t>Headline quantum</w:t>
            </w:r>
          </w:p>
        </w:tc>
        <w:tc>
          <w:tcPr>
            <w:tcW w:type="dxa" w:w="4703"/>
          </w:tcPr>
          <w:p>
            <w:r>
              <w:t>Not stated — commission amount and cost-of-supply rate are blank</w:t>
            </w:r>
          </w:p>
        </w:tc>
      </w:tr>
    </w:tbl>
    <w:p/>
    <w:p>
      <w:r>
        <w:rPr>
          <w:rFonts w:ascii="Arial" w:hAnsi="Arial"/>
          <w:b w:val="0"/>
          <w:i/>
          <w:sz w:val="22"/>
        </w:rPr>
        <w:t>Figures are taken only from the papers named below. This is not legal advice.</w:t>
      </w:r>
    </w:p>
    <w:p>
      <w:pPr>
        <w:pStyle w:val="Heading1"/>
      </w:pPr>
      <w:r>
        <w:rPr>
          <w:color w:val="7A1F2B"/>
        </w:rPr>
        <w:t>Executive Summary</w:t>
      </w:r>
    </w:p>
    <w:p>
      <w:r>
        <w:rPr>
          <w:rFonts w:ascii="Arial" w:hAnsi="Arial"/>
          <w:b w:val="0"/>
          <w:i w:val="0"/>
          <w:sz w:val="22"/>
        </w:rPr>
        <w:t>The ENGIE quotation (9 August 2022, Q00948617) is a three-year electricity supply from 1 October 2023 to 30 September 2026, product GUARD, signed by Bev Callaghan, Finance Manager, on 10 August 2022. Two sites are priced. Day rates are 43.4584 and 43.5434 p/kWh; night rates 28.6560 and 28.6616 p/kWh.</w:t>
      </w:r>
    </w:p>
    <w:p>
      <w:r>
        <w:rPr>
          <w:rFonts w:ascii="Arial" w:hAnsi="Arial"/>
          <w:b w:val="0"/>
          <w:i w:val="0"/>
          <w:sz w:val="22"/>
        </w:rPr>
        <w:t>Page 1 of the ENGIE quotation states that if a broker was used, the prices quoted will include commission unless the broker agreed otherwise or informed the customer otherwise, and that by signing the customer consents to such commission being included. The amount of commission is not stated.</w:t>
      </w:r>
    </w:p>
    <w:p>
      <w:r>
        <w:rPr>
          <w:rFonts w:ascii="Arial" w:hAnsi="Arial"/>
          <w:b w:val="0"/>
          <w:i w:val="0"/>
          <w:sz w:val="22"/>
        </w:rPr>
        <w:t>A separate Haven Power schedule prices Claybrooke Magna from 1 October 2023 to 31 March 2026 at 16.761 p/kWh day and 13.626 p/kWh night, standing charge £84.10 per month.</w:t>
      </w:r>
    </w:p>
    <w:p>
      <w:r>
        <w:rPr>
          <w:rFonts w:ascii="Arial" w:hAnsi="Arial"/>
          <w:b w:val="0"/>
          <w:i w:val="0"/>
          <w:sz w:val="22"/>
        </w:rPr>
        <w:t>Two letters of authority are in the pack. The TUS Ltd letter (28 May 2021) authorises the broker to agree and sign supply contracts. The Arbeia letter (14 June 2022) states Arbeia cannot enter new contracts without prior approval and is not instructed as agent. An email of 10 August 2022 records that Bev signed the ENGIE papers because the DocuSign had not been opened by the intended signatory before rates expired.</w:t>
      </w:r>
    </w:p>
    <w:p>
      <w:r>
        <w:rPr>
          <w:rFonts w:ascii="Arial" w:hAnsi="Arial"/>
          <w:b w:val="0"/>
          <w:i w:val="0"/>
          <w:sz w:val="22"/>
        </w:rPr>
        <w:t>No bill run is in this pack. No cost-of-supply series is adopted. No commission amount is stated. Those cells stay blank.</w:t>
      </w:r>
    </w:p>
    <w:p>
      <w:pPr>
        <w:pStyle w:val="Heading1"/>
      </w:pPr>
      <w:r>
        <w:rPr>
          <w:color w:val="7A1F2B"/>
        </w:rPr>
        <w:t>1–2. Papers and contract figures</w:t>
      </w:r>
    </w:p>
    <w:p>
      <w:r>
        <w:rPr>
          <w:rFonts w:ascii="Arial" w:hAnsi="Arial"/>
          <w:b w:val="0"/>
          <w:i w:val="0"/>
          <w:sz w:val="22"/>
        </w:rPr>
        <w:t>Taken from Engie Contract.pdf pages 1–3 and Havenpower Contract.pdf pages 1 and 4.</w:t>
      </w:r>
    </w:p>
    <w:p>
      <w:pPr>
        <w:pStyle w:val="Heading1"/>
      </w:pPr>
      <w:r>
        <w:rPr>
          <w:color w:val="7A1F2B"/>
        </w:rPr>
        <w:t>4. Commission</w:t>
      </w:r>
    </w:p>
    <w:p>
      <w:r>
        <w:rPr>
          <w:rFonts w:ascii="Arial" w:hAnsi="Arial"/>
          <w:b w:val="0"/>
          <w:i w:val="0"/>
          <w:sz w:val="22"/>
        </w:rPr>
        <w:t>Fact of commission: stated on ENGIE page 1 (prices include commission unless the broker informed otherwise). Amount: not stated. Haven pages read do not state an amount.</w:t>
      </w:r>
    </w:p>
    <w:p>
      <w:pPr>
        <w:pStyle w:val="Heading1"/>
      </w:pPr>
      <w:r>
        <w:rPr>
          <w:color w:val="7A1F2B"/>
        </w:rPr>
        <w:t>5–8. Quantum</w:t>
      </w:r>
    </w:p>
    <w:p>
      <w:r>
        <w:rPr>
          <w:rFonts w:ascii="Arial" w:hAnsi="Arial"/>
          <w:b w:val="0"/>
          <w:i w:val="0"/>
          <w:sz w:val="22"/>
        </w:rPr>
        <w:t>Rescission figure: blank (no evidenced cost-of-supply rate; no full bill set for money paid). Commission-only figure: blank (no amount). Interest: not calculated on a blank principal.</w:t>
      </w:r>
    </w:p>
    <w:p>
      <w:pPr>
        <w:pStyle w:val="Heading1"/>
      </w:pPr>
      <w:r>
        <w:rPr>
          <w:color w:val="7A1F2B"/>
        </w:rPr>
        <w:t>11. Document Schedule (short)</w:t>
      </w:r>
    </w:p>
    <w:p>
      <w:r>
        <w:rPr>
          <w:rFonts w:ascii="Arial" w:hAnsi="Arial"/>
          <w:b w:val="0"/>
          <w:i w:val="0"/>
          <w:sz w:val="22"/>
        </w:rPr>
        <w:t>1. ENGIE Contract.pdf — 9–10 Aug 2022 — quotation and rates; source of dates, MPANs, day/night rates, commission wording, signature.</w:t>
      </w:r>
    </w:p>
    <w:p>
      <w:r>
        <w:rPr>
          <w:rFonts w:ascii="Arial" w:hAnsi="Arial"/>
          <w:b w:val="0"/>
          <w:i w:val="0"/>
          <w:sz w:val="22"/>
        </w:rPr>
        <w:t>2. ENGIE Terms and Conditions.pdf — standard terms.</w:t>
      </w:r>
    </w:p>
    <w:p>
      <w:r>
        <w:rPr>
          <w:rFonts w:ascii="Arial" w:hAnsi="Arial"/>
          <w:b w:val="0"/>
          <w:i w:val="0"/>
          <w:sz w:val="22"/>
        </w:rPr>
        <w:t>3. Havenpower Contract.pdf — 30-month HH schedule; Claybrooke Magna rates.</w:t>
      </w:r>
    </w:p>
    <w:p>
      <w:r>
        <w:rPr>
          <w:rFonts w:ascii="Arial" w:hAnsi="Arial"/>
          <w:b w:val="0"/>
          <w:i w:val="0"/>
          <w:sz w:val="22"/>
        </w:rPr>
        <w:t>4. Arbeia LOA — 14/6/2022 — broker not agent; consent required before contracts.</w:t>
      </w:r>
    </w:p>
    <w:p>
      <w:r>
        <w:rPr>
          <w:rFonts w:ascii="Arial" w:hAnsi="Arial"/>
          <w:b w:val="0"/>
          <w:i w:val="0"/>
          <w:sz w:val="22"/>
        </w:rPr>
        <w:t>5. TUS Haven LOA — 28/5/21 — broker may agree and sign contracts.</w:t>
      </w:r>
    </w:p>
    <w:p>
      <w:r>
        <w:rPr>
          <w:rFonts w:ascii="Arial" w:hAnsi="Arial"/>
          <w:b w:val="0"/>
          <w:i w:val="0"/>
          <w:sz w:val="22"/>
        </w:rPr>
        <w:t>6. Arbeia email Ryan — 10–11 Aug 2022 — Bev signed because DocuSign was not opened.</w:t>
      </w:r>
    </w:p>
    <w:p>
      <w:r>
        <w:rPr>
          <w:rFonts w:ascii="Arial" w:hAnsi="Arial"/>
          <w:b w:val="0"/>
          <w:i w:val="0"/>
          <w:sz w:val="22"/>
        </w:rPr>
        <w:t>Observations from the face of the papers: the two LOAs use different wording on signing authority. The ENGIE page states fact of commission without the amount.</w:t>
      </w:r>
    </w:p>
    <w:p>
      <w:pPr>
        <w:pStyle w:val="Heading1"/>
      </w:pPr>
      <w:r>
        <w:rPr>
          <w:color w:val="7A1F2B"/>
        </w:rPr>
        <w:t>12. Observed issues and possible next steps</w:t>
      </w:r>
    </w:p>
    <w:p>
      <w:r>
        <w:rPr>
          <w:rFonts w:ascii="Arial" w:hAnsi="Arial"/>
          <w:b w:val="0"/>
          <w:i w:val="0"/>
          <w:sz w:val="22"/>
        </w:rPr>
        <w:t>The following are possibilities only. They are not advice.</w:t>
      </w:r>
    </w:p>
    <w:p>
      <w:r>
        <w:rPr>
          <w:rFonts w:ascii="Arial" w:hAnsi="Arial"/>
          <w:b w:val="0"/>
          <w:i w:val="0"/>
          <w:sz w:val="22"/>
        </w:rPr>
        <w:t>• Request the amount of any commission included in quote Q00948617 and Haven offer 2088731/0.</w:t>
      </w:r>
    </w:p>
    <w:p>
      <w:r>
        <w:rPr>
          <w:rFonts w:ascii="Arial" w:hAnsi="Arial"/>
          <w:b w:val="0"/>
          <w:i w:val="0"/>
          <w:sz w:val="22"/>
        </w:rPr>
        <w:t>• Request the ENGIE and Haven bill runs for the stated terms.</w:t>
      </w:r>
    </w:p>
    <w:p>
      <w:r>
        <w:rPr>
          <w:rFonts w:ascii="Arial" w:hAnsi="Arial"/>
          <w:b w:val="0"/>
          <w:i w:val="0"/>
          <w:sz w:val="22"/>
        </w:rPr>
        <w:t>• Request supplier cost data, or adopt a named published series and record the source.</w:t>
      </w:r>
    </w:p>
    <w:p>
      <w:r>
        <w:rPr>
          <w:rFonts w:ascii="Arial" w:hAnsi="Arial"/>
          <w:b w:val="0"/>
          <w:i w:val="0"/>
          <w:sz w:val="22"/>
        </w:rPr>
        <w:t>• Note the two LOA wordings and the 10 August 2022 email if authority is later examined.</w:t>
      </w:r>
    </w:p>
    <w:p>
      <w:pPr>
        <w:pStyle w:val="Heading1"/>
      </w:pPr>
      <w:r>
        <w:rPr>
          <w:color w:val="7A1F2B"/>
        </w:rPr>
        <w:t>13. Expert Tooling facts on the papers examined</w:t>
      </w:r>
    </w:p>
    <w:tbl>
      <w:tblPr>
        <w:tblStyle w:val="TableGrid"/>
        <w:tblW w:type="auto" w:w="0"/>
        <w:tblLook w:firstColumn="1" w:firstRow="1" w:lastColumn="0" w:lastRow="0" w:noHBand="0" w:noVBand="1" w:val="04A0"/>
      </w:tblPr>
      <w:tblGrid>
        <w:gridCol w:w="3135"/>
        <w:gridCol w:w="3135"/>
        <w:gridCol w:w="3135"/>
      </w:tblGrid>
      <w:tr>
        <w:tc>
          <w:tcPr>
            <w:tcW w:type="dxa" w:w="3135"/>
          </w:tcPr>
          <w:p>
            <w:r>
              <w:t>Material fact</w:t>
            </w:r>
          </w:p>
        </w:tc>
        <w:tc>
          <w:tcPr>
            <w:tcW w:type="dxa" w:w="3135"/>
          </w:tcPr>
          <w:p>
            <w:r>
              <w:t>Appears?</w:t>
            </w:r>
          </w:p>
        </w:tc>
        <w:tc>
          <w:tcPr>
            <w:tcW w:type="dxa" w:w="3135"/>
          </w:tcPr>
          <w:p>
            <w:r>
              <w:t>Source</w:t>
            </w:r>
          </w:p>
        </w:tc>
      </w:tr>
      <w:tr>
        <w:tc>
          <w:tcPr>
            <w:tcW w:type="dxa" w:w="3135"/>
          </w:tcPr>
          <w:p>
            <w:r>
              <w:t>Amount of commission</w:t>
            </w:r>
          </w:p>
        </w:tc>
        <w:tc>
          <w:tcPr>
            <w:tcW w:type="dxa" w:w="3135"/>
          </w:tcPr>
          <w:p>
            <w:r>
              <w:t>No</w:t>
            </w:r>
          </w:p>
        </w:tc>
        <w:tc>
          <w:tcPr>
            <w:tcW w:type="dxa" w:w="3135"/>
          </w:tcPr>
          <w:p>
            <w:r>
              <w:t>ENGIE states inclusion, not the sum</w:t>
            </w:r>
          </w:p>
        </w:tc>
      </w:tr>
      <w:tr>
        <w:tc>
          <w:tcPr>
            <w:tcW w:type="dxa" w:w="3135"/>
          </w:tcPr>
          <w:p>
            <w:r>
              <w:t>Commission added to the unit price</w:t>
            </w:r>
          </w:p>
        </w:tc>
        <w:tc>
          <w:tcPr>
            <w:tcW w:type="dxa" w:w="3135"/>
          </w:tcPr>
          <w:p>
            <w:r>
              <w:t>Yes, in general terms</w:t>
            </w:r>
          </w:p>
        </w:tc>
        <w:tc>
          <w:tcPr>
            <w:tcW w:type="dxa" w:w="3135"/>
          </w:tcPr>
          <w:p>
            <w:r>
              <w:t>ENGIE: prices quoted will include commission</w:t>
            </w:r>
          </w:p>
        </w:tc>
      </w:tr>
      <w:tr>
        <w:tc>
          <w:tcPr>
            <w:tcW w:type="dxa" w:w="3135"/>
          </w:tcPr>
          <w:p>
            <w:r>
              <w:t>Impact on contract length</w:t>
            </w:r>
          </w:p>
        </w:tc>
        <w:tc>
          <w:tcPr>
            <w:tcW w:type="dxa" w:w="3135"/>
          </w:tcPr>
          <w:p>
            <w:r>
              <w:t>No</w:t>
            </w:r>
          </w:p>
        </w:tc>
        <w:tc>
          <w:tcPr>
            <w:tcW w:type="dxa" w:w="3135"/>
          </w:tcPr>
          <w:p>
            <w:r>
              <w:t>Not stated</w:t>
            </w:r>
          </w:p>
        </w:tc>
      </w:tr>
      <w:tr>
        <w:tc>
          <w:tcPr>
            <w:tcW w:type="dxa" w:w="3135"/>
          </w:tcPr>
          <w:p>
            <w:r>
              <w:t>Broker discretion</w:t>
            </w:r>
          </w:p>
        </w:tc>
        <w:tc>
          <w:tcPr>
            <w:tcW w:type="dxa" w:w="3135"/>
          </w:tcPr>
          <w:p>
            <w:r>
              <w:t>No</w:t>
            </w:r>
          </w:p>
        </w:tc>
        <w:tc>
          <w:tcPr>
            <w:tcW w:type="dxa" w:w="3135"/>
          </w:tcPr>
          <w:p>
            <w:r>
              <w:t>Not stated</w:t>
            </w:r>
          </w:p>
        </w:tc>
      </w:tr>
      <w:tr>
        <w:tc>
          <w:tcPr>
            <w:tcW w:type="dxa" w:w="3135"/>
          </w:tcPr>
          <w:p>
            <w:r>
              <w:t>Paid up-front</w:t>
            </w:r>
          </w:p>
        </w:tc>
        <w:tc>
          <w:tcPr>
            <w:tcW w:type="dxa" w:w="3135"/>
          </w:tcPr>
          <w:p>
            <w:r>
              <w:t>No</w:t>
            </w:r>
          </w:p>
        </w:tc>
        <w:tc>
          <w:tcPr>
            <w:tcW w:type="dxa" w:w="3135"/>
          </w:tcPr>
          <w:p>
            <w:r>
              <w:t>Not stated</w:t>
            </w:r>
          </w:p>
        </w:tc>
      </w:tr>
    </w:tbl>
    <w:p>
      <w:pPr>
        <w:pStyle w:val="Heading1"/>
      </w:pPr>
      <w:r>
        <w:rPr>
          <w:color w:val="7A1F2B"/>
        </w:rPr>
        <w:t>16. Confirmation</w:t>
      </w:r>
    </w:p>
    <w:p>
      <w:r>
        <w:rPr>
          <w:rFonts w:ascii="Arial" w:hAnsi="Arial"/>
          <w:b w:val="0"/>
          <w:i w:val="0"/>
          <w:sz w:val="22"/>
        </w:rPr>
        <w:t>Based only on the Whitmore's papers named in section 11. Not legal advice.</w:t>
      </w:r>
    </w:p>
    <w:p>
      <w:r>
        <w:rPr>
          <w:rFonts w:ascii="Arial" w:hAnsi="Arial"/>
          <w:b w:val="0"/>
          <w:i w:val="0"/>
          <w:sz w:val="22"/>
        </w:rPr>
        <w:t>Signature: _______________________________     Date: _______________</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