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Calibri" w:hAnsi="Calibri" w:eastAsia="Calibri"/>
          <w:b/>
          <w:i w:val="0"/>
          <w:color w:val="7A1F2B"/>
          <w:sz w:val="24"/>
        </w:rPr>
        <w:t>CRIMSON HORSE</w:t>
      </w:r>
    </w:p>
    <w:p>
      <w:r>
        <w:rPr>
          <w:rFonts w:ascii="Calibri" w:hAnsi="Calibri" w:eastAsia="Calibri"/>
          <w:b/>
          <w:i w:val="0"/>
          <w:color w:val="7A1F2B"/>
          <w:sz w:val="44"/>
        </w:rPr>
        <w:t>Quantum valuation</w:t>
      </w:r>
    </w:p>
    <w:p>
      <w:r>
        <w:rPr>
          <w:rFonts w:ascii="Calibri" w:hAnsi="Calibri" w:eastAsia="Calibri"/>
          <w:b w:val="0"/>
          <w:i w:val="0"/>
          <w:color w:val="4A4A4A"/>
          <w:sz w:val="24"/>
        </w:rPr>
        <w:t>Carlin How and District Working Men’s Club and Institute Limited  ·  Pozitive Energy Ltd  ·  electricity  ·  MPAN 15 9102 5054 890</w:t>
      </w:r>
    </w:p>
    <w:p>
      <w:pPr>
        <w:spacing w:after="160"/>
      </w:pPr>
      <w:r>
        <w:rPr>
          <w:rFonts w:ascii="Calibri" w:hAnsi="Calibri" w:eastAsia="Calibri"/>
          <w:b w:val="0"/>
          <w:i w:val="0"/>
          <w:color w:val="1A1A1A"/>
          <w:sz w:val="22"/>
        </w:rPr>
        <w:t>This is a quantum valuation. It puts numbers on the papers that have been provided. It does not say whether a claim should be brought, how it should be pleaded, or what a court would award. Every pound figure is either copied from a named source or produced by arithmetic on those figures under assumptions that are listed in section 8. Nothing else is invented.</w:t>
      </w:r>
    </w:p>
    <w:p>
      <w:pPr>
        <w:pStyle w:val="Heading1"/>
      </w:pPr>
      <w:r>
        <w:rPr>
          <w:rFonts w:ascii="Calibri" w:hAnsi="Calibri"/>
          <w:color w:val="7A1F2B"/>
        </w:rPr>
        <w:t>1. Basis of this valuation</w:t>
      </w:r>
    </w:p>
    <w:p>
      <w:pPr>
        <w:spacing w:after="160"/>
      </w:pPr>
      <w:r>
        <w:rPr>
          <w:rFonts w:ascii="Calibri" w:hAnsi="Calibri" w:eastAsia="Calibri"/>
          <w:b w:val="0"/>
          <w:i w:val="0"/>
          <w:color w:val="1A1A1A"/>
          <w:sz w:val="22"/>
        </w:rPr>
        <w:t>The case facts, contract dates, rates, letters of authority, checklists and the JDH pound figures are taken from the opinion dated 27 July 2026 prepared for KWS Law Limited (Carlin How and District Working Men’s Club and Institute Limited and Pozitive Energy Ltd), which itself records the Initial Valuation Report of JDH Reports, reference JDH-26-0010, calculation date 21 July 2026. The JDH workbook is not in this pack. The opinion is.</w:t>
      </w:r>
    </w:p>
    <w:p>
      <w:pPr>
        <w:spacing w:after="160"/>
      </w:pPr>
      <w:r>
        <w:rPr>
          <w:rFonts w:ascii="Calibri" w:hAnsi="Calibri" w:eastAsia="Calibri"/>
          <w:b w:val="0"/>
          <w:i w:val="0"/>
          <w:color w:val="1A1A1A"/>
          <w:sz w:val="22"/>
        </w:rPr>
        <w:t>The method used to turn those figures into a Wood net is the Mersenne shape you instructed: delivery cost as 40% of wholesale, and one compensatory interest rate on both sides, here 6% (the 8% used on the earlier Mersenne fill, reduced as instructed). Those two items are assumptions. They are not written as facts in the opinion.</w:t>
      </w:r>
    </w:p>
    <w:p>
      <w:pPr>
        <w:pStyle w:val="Heading1"/>
      </w:pPr>
      <w:r>
        <w:rPr>
          <w:rFonts w:ascii="Calibri" w:hAnsi="Calibri"/>
          <w:color w:val="7A1F2B"/>
        </w:rPr>
        <w:t>2. Parties, contracts and the meter</w:t>
      </w:r>
    </w:p>
    <w:p>
      <w:pPr>
        <w:pStyle w:val="Heading2"/>
      </w:pPr>
      <w:r>
        <w:rPr>
          <w:rFonts w:ascii="Calibri" w:hAnsi="Calibri"/>
          <w:color w:val="7A1F2B"/>
        </w:rPr>
        <w:t>2.1 Parties</w:t>
      </w:r>
    </w:p>
    <w:tbl>
      <w:tblPr>
        <w:tblStyle w:val="TableGrid"/>
        <w:tblW w:type="auto" w:w="0"/>
        <w:tblLook w:firstColumn="1" w:firstRow="1" w:lastColumn="0" w:lastRow="0" w:noHBand="0" w:noVBand="1" w:val="04A0"/>
      </w:tblPr>
      <w:tblGrid>
        <w:gridCol w:w="5043"/>
        <w:gridCol w:w="5043"/>
      </w:tblGrid>
      <w:tr>
        <w:tc>
          <w:tcPr>
            <w:tcW w:type="dxa" w:w="5043"/>
            <w:shd w:fill="7A1F2B" w:val="clear"/>
          </w:tcPr>
          <w:p>
            <w:pPr>
              <w:spacing w:after="40" w:before="40"/>
            </w:pPr>
            <w:r/>
            <w:r>
              <w:rPr>
                <w:rFonts w:ascii="Calibri" w:hAnsi="Calibri" w:eastAsia="Calibri"/>
                <w:b/>
                <w:i w:val="0"/>
                <w:color w:val="FFFFFF"/>
                <w:sz w:val="20"/>
              </w:rPr>
              <w:t>Role</w:t>
            </w:r>
          </w:p>
        </w:tc>
        <w:tc>
          <w:tcPr>
            <w:tcW w:type="dxa" w:w="5043"/>
            <w:shd w:fill="7A1F2B" w:val="clear"/>
          </w:tcPr>
          <w:p>
            <w:pPr>
              <w:spacing w:after="40" w:before="40"/>
            </w:pPr>
            <w:r/>
            <w:r>
              <w:rPr>
                <w:rFonts w:ascii="Calibri" w:hAnsi="Calibri" w:eastAsia="Calibri"/>
                <w:b/>
                <w:i w:val="0"/>
                <w:color w:val="FFFFFF"/>
                <w:sz w:val="20"/>
              </w:rPr>
              <w:t>As written in the opinion</w:t>
            </w:r>
          </w:p>
        </w:tc>
      </w:tr>
      <w:tr>
        <w:tc>
          <w:tcPr>
            <w:tcW w:type="dxa" w:w="5043"/>
          </w:tcPr>
          <w:p>
            <w:pPr>
              <w:spacing w:after="40" w:before="40"/>
            </w:pPr>
            <w:r/>
            <w:r>
              <w:rPr>
                <w:rFonts w:ascii="Calibri" w:hAnsi="Calibri" w:eastAsia="Calibri"/>
                <w:b w:val="0"/>
                <w:i w:val="0"/>
                <w:color w:val="1A1A1A"/>
                <w:sz w:val="20"/>
              </w:rPr>
              <w:t>Customer</w:t>
            </w:r>
          </w:p>
        </w:tc>
        <w:tc>
          <w:tcPr>
            <w:tcW w:type="dxa" w:w="5043"/>
          </w:tcPr>
          <w:p>
            <w:pPr>
              <w:spacing w:after="40" w:before="40"/>
            </w:pPr>
            <w:r/>
            <w:r>
              <w:rPr>
                <w:rFonts w:ascii="Calibri" w:hAnsi="Calibri" w:eastAsia="Calibri"/>
                <w:b w:val="0"/>
                <w:i w:val="0"/>
                <w:color w:val="1A1A1A"/>
                <w:sz w:val="20"/>
              </w:rPr>
              <w:t>Carlin How and District Working Men’s Club and Institute Limited, registered society IP05183R, 1 Brotton Road, Carlin How, Saltburn-by-the-Sea TS13 4DG</w:t>
            </w:r>
          </w:p>
        </w:tc>
      </w:tr>
      <w:tr>
        <w:tc>
          <w:tcPr>
            <w:tcW w:type="dxa" w:w="5043"/>
            <w:shd w:fill="F4EFE6" w:val="clear"/>
          </w:tcPr>
          <w:p>
            <w:pPr>
              <w:spacing w:after="40" w:before="40"/>
            </w:pPr>
            <w:r/>
            <w:r>
              <w:rPr>
                <w:rFonts w:ascii="Calibri" w:hAnsi="Calibri" w:eastAsia="Calibri"/>
                <w:b w:val="0"/>
                <w:i w:val="0"/>
                <w:color w:val="1A1A1A"/>
                <w:sz w:val="20"/>
              </w:rPr>
              <w:t>Supplier</w:t>
            </w:r>
          </w:p>
        </w:tc>
        <w:tc>
          <w:tcPr>
            <w:tcW w:type="dxa" w:w="5043"/>
            <w:shd w:fill="F4EFE6" w:val="clear"/>
          </w:tcPr>
          <w:p>
            <w:pPr>
              <w:spacing w:after="40" w:before="40"/>
            </w:pPr>
            <w:r/>
            <w:r>
              <w:rPr>
                <w:rFonts w:ascii="Calibri" w:hAnsi="Calibri" w:eastAsia="Calibri"/>
                <w:b w:val="0"/>
                <w:i w:val="0"/>
                <w:color w:val="1A1A1A"/>
                <w:sz w:val="20"/>
              </w:rPr>
              <w:t>Pozitive Energy Ltd, 09523048</w:t>
            </w:r>
          </w:p>
        </w:tc>
      </w:tr>
      <w:tr>
        <w:tc>
          <w:tcPr>
            <w:tcW w:type="dxa" w:w="5043"/>
          </w:tcPr>
          <w:p>
            <w:pPr>
              <w:spacing w:after="40" w:before="40"/>
            </w:pPr>
            <w:r/>
            <w:r>
              <w:rPr>
                <w:rFonts w:ascii="Calibri" w:hAnsi="Calibri" w:eastAsia="Calibri"/>
                <w:b w:val="0"/>
                <w:i w:val="0"/>
                <w:color w:val="1A1A1A"/>
                <w:sz w:val="20"/>
              </w:rPr>
              <w:t>Broker named on the papers</w:t>
            </w:r>
          </w:p>
        </w:tc>
        <w:tc>
          <w:tcPr>
            <w:tcW w:type="dxa" w:w="5043"/>
          </w:tcPr>
          <w:p>
            <w:pPr>
              <w:spacing w:after="40" w:before="40"/>
            </w:pPr>
            <w:r/>
            <w:r>
              <w:rPr>
                <w:rFonts w:ascii="Calibri" w:hAnsi="Calibri" w:eastAsia="Calibri"/>
                <w:b w:val="0"/>
                <w:i w:val="0"/>
                <w:color w:val="1A1A1A"/>
                <w:sz w:val="20"/>
              </w:rPr>
              <w:t>Forward Energy (UK) Limited, 07146002. Each contract names it as Pozitive’s “Partner”.</w:t>
            </w:r>
          </w:p>
        </w:tc>
      </w:tr>
      <w:tr>
        <w:tc>
          <w:tcPr>
            <w:tcW w:type="dxa" w:w="5043"/>
            <w:shd w:fill="F4EFE6" w:val="clear"/>
          </w:tcPr>
          <w:p>
            <w:pPr>
              <w:spacing w:after="40" w:before="40"/>
            </w:pPr>
            <w:r/>
            <w:r>
              <w:rPr>
                <w:rFonts w:ascii="Calibri" w:hAnsi="Calibri" w:eastAsia="Calibri"/>
                <w:b w:val="0"/>
                <w:i w:val="0"/>
                <w:color w:val="1A1A1A"/>
                <w:sz w:val="20"/>
              </w:rPr>
              <w:t>Signatory on the contracts and LOAs</w:t>
            </w:r>
          </w:p>
        </w:tc>
        <w:tc>
          <w:tcPr>
            <w:tcW w:type="dxa" w:w="5043"/>
            <w:shd w:fill="F4EFE6" w:val="clear"/>
          </w:tcPr>
          <w:p>
            <w:pPr>
              <w:spacing w:after="40" w:before="40"/>
            </w:pPr>
            <w:r/>
            <w:r>
              <w:rPr>
                <w:rFonts w:ascii="Calibri" w:hAnsi="Calibri" w:eastAsia="Calibri"/>
                <w:b w:val="0"/>
                <w:i w:val="0"/>
                <w:color w:val="1A1A1A"/>
                <w:sz w:val="20"/>
              </w:rPr>
              <w:t>Mr Steven Waite, Club Secretary (the opinion records he is now former Secretary)</w:t>
            </w:r>
          </w:p>
        </w:tc>
      </w:tr>
      <w:tr>
        <w:tc>
          <w:tcPr>
            <w:tcW w:type="dxa" w:w="5043"/>
          </w:tcPr>
          <w:p>
            <w:pPr>
              <w:spacing w:after="40" w:before="40"/>
            </w:pPr>
            <w:r/>
            <w:r>
              <w:rPr>
                <w:rFonts w:ascii="Calibri" w:hAnsi="Calibri" w:eastAsia="Calibri"/>
                <w:b w:val="0"/>
                <w:i w:val="0"/>
                <w:color w:val="1A1A1A"/>
                <w:sz w:val="20"/>
              </w:rPr>
              <w:t>Signatory on later claim papers</w:t>
            </w:r>
          </w:p>
        </w:tc>
        <w:tc>
          <w:tcPr>
            <w:tcW w:type="dxa" w:w="5043"/>
          </w:tcPr>
          <w:p>
            <w:pPr>
              <w:spacing w:after="40" w:before="40"/>
            </w:pPr>
            <w:r/>
            <w:r>
              <w:rPr>
                <w:rFonts w:ascii="Calibri" w:hAnsi="Calibri" w:eastAsia="Calibri"/>
                <w:b w:val="0"/>
                <w:i w:val="0"/>
                <w:color w:val="1A1A1A"/>
                <w:sz w:val="20"/>
              </w:rPr>
              <w:t>Mr James Taylor, Treasurer</w:t>
            </w:r>
          </w:p>
        </w:tc>
      </w:tr>
    </w:tbl>
    <w:p/>
    <w:p>
      <w:pPr>
        <w:pStyle w:val="Heading2"/>
      </w:pPr>
      <w:r>
        <w:rPr>
          <w:rFonts w:ascii="Calibri" w:hAnsi="Calibri"/>
          <w:color w:val="7A1F2B"/>
        </w:rPr>
        <w:t>2.2 Contracts</w:t>
      </w:r>
    </w:p>
    <w:p>
      <w:pPr>
        <w:spacing w:after="160"/>
      </w:pPr>
      <w:r>
        <w:rPr>
          <w:rFonts w:ascii="Calibri" w:hAnsi="Calibri" w:eastAsia="Calibri"/>
          <w:b w:val="0"/>
          <w:i w:val="0"/>
          <w:color w:val="1A1A1A"/>
          <w:sz w:val="22"/>
        </w:rPr>
        <w:t>Four successive one-year electricity contracts, reference 33983, same meter. Supply 25 July 2018 to 24 July 2022. The opinion records that each has expired.</w:t>
      </w:r>
    </w:p>
    <w:tbl>
      <w:tblPr>
        <w:tblStyle w:val="TableGrid"/>
        <w:tblW w:type="auto" w:w="0"/>
        <w:tblLook w:firstColumn="1" w:firstRow="1" w:lastColumn="0" w:lastRow="0" w:noHBand="0" w:noVBand="1" w:val="04A0"/>
      </w:tblPr>
      <w:tblGrid>
        <w:gridCol w:w="2521"/>
        <w:gridCol w:w="2521"/>
        <w:gridCol w:w="2521"/>
        <w:gridCol w:w="2521"/>
      </w:tblGrid>
      <w:tr>
        <w:tc>
          <w:tcPr>
            <w:tcW w:type="dxa" w:w="2521"/>
            <w:shd w:fill="7A1F2B" w:val="clear"/>
          </w:tcPr>
          <w:p>
            <w:pPr>
              <w:spacing w:after="40" w:before="40"/>
            </w:pPr>
            <w:r/>
            <w:r>
              <w:rPr>
                <w:rFonts w:ascii="Calibri" w:hAnsi="Calibri" w:eastAsia="Calibri"/>
                <w:b/>
                <w:i w:val="0"/>
                <w:color w:val="FFFFFF"/>
                <w:sz w:val="20"/>
              </w:rPr>
              <w:t>Year</w:t>
            </w:r>
          </w:p>
        </w:tc>
        <w:tc>
          <w:tcPr>
            <w:tcW w:type="dxa" w:w="2521"/>
            <w:shd w:fill="7A1F2B" w:val="clear"/>
          </w:tcPr>
          <w:p>
            <w:pPr>
              <w:spacing w:after="40" w:before="40"/>
            </w:pPr>
            <w:r/>
            <w:r>
              <w:rPr>
                <w:rFonts w:ascii="Calibri" w:hAnsi="Calibri" w:eastAsia="Calibri"/>
                <w:b/>
                <w:i w:val="0"/>
                <w:color w:val="FFFFFF"/>
                <w:sz w:val="20"/>
              </w:rPr>
              <w:t>Signed</w:t>
            </w:r>
          </w:p>
        </w:tc>
        <w:tc>
          <w:tcPr>
            <w:tcW w:type="dxa" w:w="2521"/>
            <w:shd w:fill="7A1F2B" w:val="clear"/>
          </w:tcPr>
          <w:p>
            <w:pPr>
              <w:spacing w:after="40" w:before="40"/>
            </w:pPr>
            <w:r/>
            <w:r>
              <w:rPr>
                <w:rFonts w:ascii="Calibri" w:hAnsi="Calibri" w:eastAsia="Calibri"/>
                <w:b/>
                <w:i w:val="0"/>
                <w:color w:val="FFFFFF"/>
                <w:sz w:val="20"/>
              </w:rPr>
              <w:t>Supply</w:t>
            </w:r>
          </w:p>
        </w:tc>
        <w:tc>
          <w:tcPr>
            <w:tcW w:type="dxa" w:w="2521"/>
            <w:shd w:fill="7A1F2B" w:val="clear"/>
          </w:tcPr>
          <w:p>
            <w:pPr>
              <w:spacing w:after="40" w:before="40"/>
            </w:pPr>
            <w:r/>
            <w:r>
              <w:rPr>
                <w:rFonts w:ascii="Calibri" w:hAnsi="Calibri" w:eastAsia="Calibri"/>
                <w:b/>
                <w:i w:val="0"/>
                <w:color w:val="FFFFFF"/>
                <w:sz w:val="20"/>
              </w:rPr>
              <w:t>Unit rates as written</w:t>
            </w:r>
          </w:p>
        </w:tc>
      </w:tr>
      <w:tr>
        <w:tc>
          <w:tcPr>
            <w:tcW w:type="dxa" w:w="2521"/>
          </w:tcPr>
          <w:p>
            <w:pPr>
              <w:spacing w:after="40" w:before="40"/>
            </w:pPr>
            <w:r/>
            <w:r>
              <w:rPr>
                <w:rFonts w:ascii="Calibri" w:hAnsi="Calibri" w:eastAsia="Calibri"/>
                <w:b w:val="0"/>
                <w:i w:val="0"/>
                <w:color w:val="1A1A1A"/>
                <w:sz w:val="20"/>
              </w:rPr>
              <w:t>2018</w:t>
            </w:r>
          </w:p>
        </w:tc>
        <w:tc>
          <w:tcPr>
            <w:tcW w:type="dxa" w:w="2521"/>
          </w:tcPr>
          <w:p>
            <w:pPr>
              <w:spacing w:after="40" w:before="40"/>
            </w:pPr>
            <w:r/>
            <w:r>
              <w:rPr>
                <w:rFonts w:ascii="Calibri" w:hAnsi="Calibri" w:eastAsia="Calibri"/>
                <w:b w:val="0"/>
                <w:i w:val="0"/>
                <w:color w:val="1A1A1A"/>
                <w:sz w:val="20"/>
              </w:rPr>
              <w:t>15 June 2018</w:t>
            </w:r>
          </w:p>
        </w:tc>
        <w:tc>
          <w:tcPr>
            <w:tcW w:type="dxa" w:w="2521"/>
          </w:tcPr>
          <w:p>
            <w:pPr>
              <w:spacing w:after="40" w:before="40"/>
            </w:pPr>
            <w:r/>
            <w:r>
              <w:rPr>
                <w:rFonts w:ascii="Calibri" w:hAnsi="Calibri" w:eastAsia="Calibri"/>
                <w:b w:val="0"/>
                <w:i w:val="0"/>
                <w:color w:val="1A1A1A"/>
                <w:sz w:val="20"/>
              </w:rPr>
              <w:t>25 July 2018 – 24 July 2019</w:t>
            </w:r>
          </w:p>
        </w:tc>
        <w:tc>
          <w:tcPr>
            <w:tcW w:type="dxa" w:w="2521"/>
          </w:tcPr>
          <w:p>
            <w:pPr>
              <w:spacing w:after="40" w:before="40"/>
            </w:pPr>
            <w:r/>
            <w:r>
              <w:rPr>
                <w:rFonts w:ascii="Calibri" w:hAnsi="Calibri" w:eastAsia="Calibri"/>
                <w:b w:val="0"/>
                <w:i w:val="0"/>
                <w:color w:val="1A1A1A"/>
                <w:sz w:val="20"/>
              </w:rPr>
              <w:t>Day 13.97 p/kWh, night 9.96 p/kWh</w:t>
            </w:r>
          </w:p>
        </w:tc>
      </w:tr>
      <w:tr>
        <w:tc>
          <w:tcPr>
            <w:tcW w:type="dxa" w:w="2521"/>
            <w:shd w:fill="F4EFE6" w:val="clear"/>
          </w:tcPr>
          <w:p>
            <w:pPr>
              <w:spacing w:after="40" w:before="40"/>
            </w:pPr>
            <w:r/>
            <w:r>
              <w:rPr>
                <w:rFonts w:ascii="Calibri" w:hAnsi="Calibri" w:eastAsia="Calibri"/>
                <w:b w:val="0"/>
                <w:i w:val="0"/>
                <w:color w:val="1A1A1A"/>
                <w:sz w:val="20"/>
              </w:rPr>
              <w:t>2019</w:t>
            </w:r>
          </w:p>
        </w:tc>
        <w:tc>
          <w:tcPr>
            <w:tcW w:type="dxa" w:w="2521"/>
            <w:shd w:fill="F4EFE6" w:val="clear"/>
          </w:tcPr>
          <w:p>
            <w:pPr>
              <w:spacing w:after="40" w:before="40"/>
            </w:pPr>
            <w:r/>
            <w:r>
              <w:rPr>
                <w:rFonts w:ascii="Calibri" w:hAnsi="Calibri" w:eastAsia="Calibri"/>
                <w:b w:val="0"/>
                <w:i w:val="0"/>
                <w:color w:val="1A1A1A"/>
                <w:sz w:val="20"/>
              </w:rPr>
              <w:t>14 June 2019</w:t>
            </w:r>
          </w:p>
        </w:tc>
        <w:tc>
          <w:tcPr>
            <w:tcW w:type="dxa" w:w="2521"/>
            <w:shd w:fill="F4EFE6" w:val="clear"/>
          </w:tcPr>
          <w:p>
            <w:pPr>
              <w:spacing w:after="40" w:before="40"/>
            </w:pPr>
            <w:r/>
            <w:r>
              <w:rPr>
                <w:rFonts w:ascii="Calibri" w:hAnsi="Calibri" w:eastAsia="Calibri"/>
                <w:b w:val="0"/>
                <w:i w:val="0"/>
                <w:color w:val="1A1A1A"/>
                <w:sz w:val="20"/>
              </w:rPr>
              <w:t>25 July 2019 – 24 July 2020</w:t>
            </w:r>
          </w:p>
        </w:tc>
        <w:tc>
          <w:tcPr>
            <w:tcW w:type="dxa" w:w="2521"/>
            <w:shd w:fill="F4EFE6" w:val="clear"/>
          </w:tcPr>
          <w:p>
            <w:pPr>
              <w:spacing w:after="40" w:before="40"/>
            </w:pPr>
            <w:r/>
            <w:r>
              <w:rPr>
                <w:rFonts w:ascii="Calibri" w:hAnsi="Calibri" w:eastAsia="Calibri"/>
                <w:b w:val="0"/>
                <w:i w:val="0"/>
                <w:color w:val="1A1A1A"/>
                <w:sz w:val="20"/>
              </w:rPr>
              <w:t>Day 14.67 / night 10.76 p/kWh</w:t>
            </w:r>
          </w:p>
        </w:tc>
      </w:tr>
      <w:tr>
        <w:tc>
          <w:tcPr>
            <w:tcW w:type="dxa" w:w="2521"/>
          </w:tcPr>
          <w:p>
            <w:pPr>
              <w:spacing w:after="40" w:before="40"/>
            </w:pPr>
            <w:r/>
            <w:r>
              <w:rPr>
                <w:rFonts w:ascii="Calibri" w:hAnsi="Calibri" w:eastAsia="Calibri"/>
                <w:b w:val="0"/>
                <w:i w:val="0"/>
                <w:color w:val="1A1A1A"/>
                <w:sz w:val="20"/>
              </w:rPr>
              <w:t>2020</w:t>
            </w:r>
          </w:p>
        </w:tc>
        <w:tc>
          <w:tcPr>
            <w:tcW w:type="dxa" w:w="2521"/>
          </w:tcPr>
          <w:p>
            <w:pPr>
              <w:spacing w:after="40" w:before="40"/>
            </w:pPr>
            <w:r/>
            <w:r>
              <w:rPr>
                <w:rFonts w:ascii="Calibri" w:hAnsi="Calibri" w:eastAsia="Calibri"/>
                <w:b w:val="0"/>
                <w:i w:val="0"/>
                <w:color w:val="1A1A1A"/>
                <w:sz w:val="20"/>
              </w:rPr>
              <w:t>17 June 2020 (countersigned 29 June 2020)</w:t>
            </w:r>
          </w:p>
        </w:tc>
        <w:tc>
          <w:tcPr>
            <w:tcW w:type="dxa" w:w="2521"/>
          </w:tcPr>
          <w:p>
            <w:pPr>
              <w:spacing w:after="40" w:before="40"/>
            </w:pPr>
            <w:r/>
            <w:r>
              <w:rPr>
                <w:rFonts w:ascii="Calibri" w:hAnsi="Calibri" w:eastAsia="Calibri"/>
                <w:b w:val="0"/>
                <w:i w:val="0"/>
                <w:color w:val="1A1A1A"/>
                <w:sz w:val="20"/>
              </w:rPr>
              <w:t>25 July 2020 – 24 July 2021</w:t>
            </w:r>
          </w:p>
        </w:tc>
        <w:tc>
          <w:tcPr>
            <w:tcW w:type="dxa" w:w="2521"/>
          </w:tcPr>
          <w:p>
            <w:pPr>
              <w:spacing w:after="40" w:before="40"/>
            </w:pPr>
            <w:r/>
            <w:r>
              <w:rPr>
                <w:rFonts w:ascii="Calibri" w:hAnsi="Calibri" w:eastAsia="Calibri"/>
                <w:b w:val="0"/>
                <w:i w:val="0"/>
                <w:color w:val="1A1A1A"/>
                <w:sz w:val="20"/>
              </w:rPr>
              <w:t>Day 14.47 / night 10.56 p/kWh</w:t>
            </w:r>
          </w:p>
        </w:tc>
      </w:tr>
      <w:tr>
        <w:tc>
          <w:tcPr>
            <w:tcW w:type="dxa" w:w="2521"/>
            <w:shd w:fill="F4EFE6" w:val="clear"/>
          </w:tcPr>
          <w:p>
            <w:pPr>
              <w:spacing w:after="40" w:before="40"/>
            </w:pPr>
            <w:r/>
            <w:r>
              <w:rPr>
                <w:rFonts w:ascii="Calibri" w:hAnsi="Calibri" w:eastAsia="Calibri"/>
                <w:b w:val="0"/>
                <w:i w:val="0"/>
                <w:color w:val="1A1A1A"/>
                <w:sz w:val="20"/>
              </w:rPr>
              <w:t>2021</w:t>
            </w:r>
          </w:p>
        </w:tc>
        <w:tc>
          <w:tcPr>
            <w:tcW w:type="dxa" w:w="2521"/>
            <w:shd w:fill="F4EFE6" w:val="clear"/>
          </w:tcPr>
          <w:p>
            <w:pPr>
              <w:spacing w:after="40" w:before="40"/>
            </w:pPr>
            <w:r/>
            <w:r>
              <w:rPr>
                <w:rFonts w:ascii="Calibri" w:hAnsi="Calibri" w:eastAsia="Calibri"/>
                <w:b w:val="0"/>
                <w:i w:val="0"/>
                <w:color w:val="1A1A1A"/>
                <w:sz w:val="20"/>
              </w:rPr>
              <w:t>Dated 5 July 2021, signed 9 July 2021</w:t>
            </w:r>
          </w:p>
        </w:tc>
        <w:tc>
          <w:tcPr>
            <w:tcW w:type="dxa" w:w="2521"/>
            <w:shd w:fill="F4EFE6" w:val="clear"/>
          </w:tcPr>
          <w:p>
            <w:pPr>
              <w:spacing w:after="40" w:before="40"/>
            </w:pPr>
            <w:r/>
            <w:r>
              <w:rPr>
                <w:rFonts w:ascii="Calibri" w:hAnsi="Calibri" w:eastAsia="Calibri"/>
                <w:b w:val="0"/>
                <w:i w:val="0"/>
                <w:color w:val="1A1A1A"/>
                <w:sz w:val="20"/>
              </w:rPr>
              <w:t>25 July 2021 – 24 July 2022</w:t>
            </w:r>
          </w:p>
        </w:tc>
        <w:tc>
          <w:tcPr>
            <w:tcW w:type="dxa" w:w="2521"/>
            <w:shd w:fill="F4EFE6" w:val="clear"/>
          </w:tcPr>
          <w:p>
            <w:pPr>
              <w:spacing w:after="40" w:before="40"/>
            </w:pPr>
            <w:r/>
            <w:r>
              <w:rPr>
                <w:rFonts w:ascii="Calibri" w:hAnsi="Calibri" w:eastAsia="Calibri"/>
                <w:b w:val="0"/>
                <w:i w:val="0"/>
                <w:color w:val="1A1A1A"/>
                <w:sz w:val="20"/>
              </w:rPr>
              <w:t>Day 20.1918 / night 16.1178 p/kWh; standing charge 66.754 p/day</w:t>
            </w:r>
          </w:p>
        </w:tc>
      </w:tr>
    </w:tbl>
    <w:p/>
    <w:p>
      <w:pPr>
        <w:pStyle w:val="Heading2"/>
      </w:pPr>
      <w:r>
        <w:rPr>
          <w:rFonts w:ascii="Calibri" w:hAnsi="Calibri"/>
          <w:color w:val="7A1F2B"/>
        </w:rPr>
        <w:t>2.3 Meter and consumption</w:t>
      </w:r>
    </w:p>
    <w:tbl>
      <w:tblPr>
        <w:tblStyle w:val="TableGrid"/>
        <w:tblW w:type="auto" w:w="0"/>
        <w:tblLook w:firstColumn="1" w:firstRow="1" w:lastColumn="0" w:lastRow="0" w:noHBand="0" w:noVBand="1" w:val="04A0"/>
      </w:tblPr>
      <w:tblGrid>
        <w:gridCol w:w="5043"/>
        <w:gridCol w:w="5043"/>
      </w:tblGrid>
      <w:tr>
        <w:tc>
          <w:tcPr>
            <w:tcW w:type="dxa" w:w="5043"/>
            <w:shd w:fill="7A1F2B" w:val="clear"/>
          </w:tcPr>
          <w:p>
            <w:pPr>
              <w:spacing w:after="40" w:before="40"/>
            </w:pPr>
            <w:r/>
            <w:r>
              <w:rPr>
                <w:rFonts w:ascii="Calibri" w:hAnsi="Calibri" w:eastAsia="Calibri"/>
                <w:b/>
                <w:i w:val="0"/>
                <w:color w:val="FFFFFF"/>
                <w:sz w:val="20"/>
              </w:rPr>
              <w:t>Item</w:t>
            </w:r>
          </w:p>
        </w:tc>
        <w:tc>
          <w:tcPr>
            <w:tcW w:type="dxa" w:w="5043"/>
            <w:shd w:fill="7A1F2B" w:val="clear"/>
          </w:tcPr>
          <w:p>
            <w:pPr>
              <w:spacing w:after="40" w:before="40"/>
            </w:pPr>
            <w:r/>
            <w:r>
              <w:rPr>
                <w:rFonts w:ascii="Calibri" w:hAnsi="Calibri" w:eastAsia="Calibri"/>
                <w:b/>
                <w:i w:val="0"/>
                <w:color w:val="FFFFFF"/>
                <w:sz w:val="20"/>
              </w:rPr>
              <w:t>As written</w:t>
            </w:r>
          </w:p>
        </w:tc>
      </w:tr>
      <w:tr>
        <w:tc>
          <w:tcPr>
            <w:tcW w:type="dxa" w:w="5043"/>
          </w:tcPr>
          <w:p>
            <w:pPr>
              <w:spacing w:after="40" w:before="40"/>
            </w:pPr>
            <w:r/>
            <w:r>
              <w:rPr>
                <w:rFonts w:ascii="Calibri" w:hAnsi="Calibri" w:eastAsia="Calibri"/>
                <w:b w:val="0"/>
                <w:i w:val="0"/>
                <w:color w:val="1A1A1A"/>
                <w:sz w:val="20"/>
              </w:rPr>
              <w:t>MPAN</w:t>
            </w:r>
          </w:p>
        </w:tc>
        <w:tc>
          <w:tcPr>
            <w:tcW w:type="dxa" w:w="5043"/>
          </w:tcPr>
          <w:p>
            <w:pPr>
              <w:spacing w:after="40" w:before="40"/>
            </w:pPr>
            <w:r/>
            <w:r>
              <w:rPr>
                <w:rFonts w:ascii="Calibri" w:hAnsi="Calibri" w:eastAsia="Calibri"/>
                <w:b w:val="0"/>
                <w:i w:val="0"/>
                <w:color w:val="1A1A1A"/>
                <w:sz w:val="20"/>
              </w:rPr>
              <w:t>15 9102 5054 890</w:t>
            </w:r>
          </w:p>
        </w:tc>
      </w:tr>
      <w:tr>
        <w:tc>
          <w:tcPr>
            <w:tcW w:type="dxa" w:w="5043"/>
            <w:shd w:fill="F4EFE6" w:val="clear"/>
          </w:tcPr>
          <w:p>
            <w:pPr>
              <w:spacing w:after="40" w:before="40"/>
            </w:pPr>
            <w:r/>
            <w:r>
              <w:rPr>
                <w:rFonts w:ascii="Calibri" w:hAnsi="Calibri" w:eastAsia="Calibri"/>
                <w:b w:val="0"/>
                <w:i w:val="0"/>
                <w:color w:val="1A1A1A"/>
                <w:sz w:val="20"/>
              </w:rPr>
              <w:t>Address</w:t>
            </w:r>
          </w:p>
        </w:tc>
        <w:tc>
          <w:tcPr>
            <w:tcW w:type="dxa" w:w="5043"/>
            <w:shd w:fill="F4EFE6" w:val="clear"/>
          </w:tcPr>
          <w:p>
            <w:pPr>
              <w:spacing w:after="40" w:before="40"/>
            </w:pPr>
            <w:r/>
            <w:r>
              <w:rPr>
                <w:rFonts w:ascii="Calibri" w:hAnsi="Calibri" w:eastAsia="Calibri"/>
                <w:b w:val="0"/>
                <w:i w:val="0"/>
                <w:color w:val="1A1A1A"/>
                <w:sz w:val="20"/>
              </w:rPr>
              <w:t>1 Brotton Road, Carlin How</w:t>
            </w:r>
          </w:p>
        </w:tc>
      </w:tr>
      <w:tr>
        <w:tc>
          <w:tcPr>
            <w:tcW w:type="dxa" w:w="5043"/>
          </w:tcPr>
          <w:p>
            <w:pPr>
              <w:spacing w:after="40" w:before="40"/>
            </w:pPr>
            <w:r/>
            <w:r>
              <w:rPr>
                <w:rFonts w:ascii="Calibri" w:hAnsi="Calibri" w:eastAsia="Calibri"/>
                <w:b w:val="0"/>
                <w:i w:val="0"/>
                <w:color w:val="1A1A1A"/>
                <w:sz w:val="20"/>
              </w:rPr>
              <w:t>kWh in the JDH working</w:t>
            </w:r>
          </w:p>
        </w:tc>
        <w:tc>
          <w:tcPr>
            <w:tcW w:type="dxa" w:w="5043"/>
          </w:tcPr>
          <w:p>
            <w:pPr>
              <w:spacing w:after="40" w:before="40"/>
            </w:pPr>
            <w:r/>
            <w:r>
              <w:rPr>
                <w:rFonts w:ascii="Calibri" w:hAnsi="Calibri" w:eastAsia="Calibri"/>
                <w:b w:val="0"/>
                <w:i w:val="0"/>
                <w:color w:val="1A1A1A"/>
                <w:sz w:val="20"/>
              </w:rPr>
              <w:t>201,781.53 kWh across the four years</w:t>
            </w:r>
          </w:p>
        </w:tc>
      </w:tr>
      <w:tr>
        <w:tc>
          <w:tcPr>
            <w:tcW w:type="dxa" w:w="5043"/>
            <w:shd w:fill="F4EFE6" w:val="clear"/>
          </w:tcPr>
          <w:p>
            <w:pPr>
              <w:spacing w:after="40" w:before="40"/>
            </w:pPr>
            <w:r/>
            <w:r>
              <w:rPr>
                <w:rFonts w:ascii="Calibri" w:hAnsi="Calibri" w:eastAsia="Calibri"/>
                <w:b w:val="0"/>
                <w:i w:val="0"/>
                <w:color w:val="1A1A1A"/>
                <w:sz w:val="20"/>
              </w:rPr>
              <w:t>Bills behind those kWh</w:t>
            </w:r>
          </w:p>
        </w:tc>
        <w:tc>
          <w:tcPr>
            <w:tcW w:type="dxa" w:w="5043"/>
            <w:shd w:fill="F4EFE6" w:val="clear"/>
          </w:tcPr>
          <w:p>
            <w:pPr>
              <w:spacing w:after="40" w:before="40"/>
            </w:pPr>
            <w:r/>
            <w:r>
              <w:rPr>
                <w:rFonts w:ascii="Calibri" w:hAnsi="Calibri" w:eastAsia="Calibri"/>
                <w:b w:val="0"/>
                <w:i w:val="0"/>
                <w:color w:val="1A1A1A"/>
                <w:sz w:val="20"/>
              </w:rPr>
              <w:t>The opinion records that JDH used four or five bills per contract and extrapolated. The complete invoices are not in this pack.</w:t>
            </w:r>
          </w:p>
        </w:tc>
      </w:tr>
    </w:tbl>
    <w:p/>
    <w:p>
      <w:pPr>
        <w:pStyle w:val="Heading1"/>
      </w:pPr>
      <w:r>
        <w:rPr>
          <w:rFonts w:ascii="Calibri" w:hAnsi="Calibri"/>
          <w:color w:val="7A1F2B"/>
        </w:rPr>
        <w:t>3. What the papers say about commission</w:t>
      </w:r>
    </w:p>
    <w:p>
      <w:pPr>
        <w:spacing w:after="160"/>
      </w:pPr>
      <w:r>
        <w:rPr>
          <w:rFonts w:ascii="Calibri" w:hAnsi="Calibri" w:eastAsia="Calibri"/>
          <w:b w:val="0"/>
          <w:i w:val="0"/>
          <w:color w:val="1A1A1A"/>
          <w:sz w:val="22"/>
        </w:rPr>
        <w:t>Copied from the opinion. This section is description, not a finding by Crimson Horse.</w:t>
      </w:r>
    </w:p>
    <w:p>
      <w:pPr>
        <w:pStyle w:val="ListBullet"/>
      </w:pPr>
      <w:r>
        <w:rPr>
          <w:rFonts w:ascii="Calibri" w:hAnsi="Calibri" w:eastAsia="Calibri"/>
          <w:b w:val="0"/>
          <w:i w:val="0"/>
          <w:color w:val="1A1A1A"/>
          <w:sz w:val="22"/>
        </w:rPr>
        <w:t>The LOAs (15 June 2018 and effective 14 June 2019) appoint Forward Energy “to act exclusively on behalf of this company” in negotiating prices, contracts and termination. Each contains a proviso that this “shall not extend to the authority of Forward Energy (UK) Ltd to commit this company in any way, directly or indirectly, to a contract resulting from their negotiations.” The opinion records no mention of commission on the LOAs.</w:t>
      </w:r>
    </w:p>
    <w:p>
      <w:pPr>
        <w:pStyle w:val="ListBullet"/>
      </w:pPr>
      <w:r>
        <w:rPr>
          <w:rFonts w:ascii="Calibri" w:hAnsi="Calibri" w:eastAsia="Calibri"/>
          <w:b w:val="0"/>
          <w:i w:val="0"/>
          <w:color w:val="1A1A1A"/>
          <w:sz w:val="22"/>
        </w:rPr>
        <w:t>Client Checklists signed 15 June 2018, 14 June 2019 and 9 July 2021 record that the broker “may obtain a commission directly from the supplier.” The opinion records that none of the five Expert Tooling material facts (amount, built into the unit rate, effect on term, broker’s discretion, up-front payment) is on those checklists. No checklist for the 2020 contract is in the papers the opinion saw.</w:t>
      </w:r>
    </w:p>
    <w:p>
      <w:pPr>
        <w:pStyle w:val="ListBullet"/>
      </w:pPr>
      <w:r>
        <w:rPr>
          <w:rFonts w:ascii="Calibri" w:hAnsi="Calibri" w:eastAsia="Calibri"/>
          <w:b w:val="0"/>
          <w:i w:val="0"/>
          <w:color w:val="1A1A1A"/>
          <w:sz w:val="22"/>
        </w:rPr>
        <w:t>The contracts and T&amp;Cs, the opinion records, make no reference to commission, uplift or a broker fee.</w:t>
      </w:r>
    </w:p>
    <w:p>
      <w:pPr>
        <w:pStyle w:val="ListBullet"/>
      </w:pPr>
      <w:r>
        <w:rPr>
          <w:rFonts w:ascii="Calibri" w:hAnsi="Calibri" w:eastAsia="Calibri"/>
          <w:b w:val="0"/>
          <w:i w:val="0"/>
          <w:color w:val="1A1A1A"/>
          <w:sz w:val="22"/>
        </w:rPr>
        <w:t>The Client Questionnaire signed 9 June 2026, as recorded, says the Club paid the broker nothing and did not ask how the broker was paid.</w:t>
      </w:r>
    </w:p>
    <w:p>
      <w:pPr>
        <w:pStyle w:val="ListBullet"/>
      </w:pPr>
      <w:r>
        <w:rPr>
          <w:rFonts w:ascii="Calibri" w:hAnsi="Calibri" w:eastAsia="Calibri"/>
          <w:b w:val="0"/>
          <w:i w:val="0"/>
          <w:color w:val="1A1A1A"/>
          <w:sz w:val="22"/>
        </w:rPr>
        <w:t>The Self-Declaration signed 9 July 2026, as recorded, says the Club was unaware of any commission. The opinion notes that this must be read with the checklists’ “may obtain” wording.</w:t>
      </w:r>
    </w:p>
    <w:p>
      <w:pPr>
        <w:pStyle w:val="Heading1"/>
      </w:pPr>
      <w:r>
        <w:rPr>
          <w:rFonts w:ascii="Calibri" w:hAnsi="Calibri"/>
          <w:color w:val="7A1F2B"/>
        </w:rPr>
        <w:t>4. Primary quantum — rescission / Wood</w:t>
      </w:r>
    </w:p>
    <w:p>
      <w:pPr>
        <w:spacing w:after="160"/>
      </w:pPr>
      <w:r>
        <w:rPr>
          <w:rFonts w:ascii="Calibri" w:hAnsi="Calibri" w:eastAsia="Calibri"/>
          <w:b w:val="0"/>
          <w:i w:val="0"/>
          <w:color w:val="1A1A1A"/>
          <w:sz w:val="22"/>
        </w:rPr>
        <w:t>The shape used here is (A + B) − (C + D + E). That is the same idea as the opinion’s Wood description: all sums paid, plus interest, less the supplier’s true cost of supply, less interest on that credit. JDH printed (A + B) − (C + D) with their D meaning interest at 2% on wholesale only. This valuation keeps your letters: D is delivery cost; E is interest on (C + D).</w:t>
      </w:r>
    </w:p>
    <w:p>
      <w:pPr>
        <w:pStyle w:val="Heading2"/>
      </w:pPr>
      <w:r>
        <w:rPr>
          <w:rFonts w:ascii="Calibri" w:hAnsi="Calibri"/>
          <w:color w:val="7A1F2B"/>
        </w:rPr>
        <w:t>4.1 The working table</w:t>
      </w:r>
    </w:p>
    <w:tbl>
      <w:tblPr>
        <w:tblStyle w:val="TableGrid"/>
        <w:tblW w:type="auto" w:w="0"/>
        <w:tblLook w:firstColumn="1" w:firstRow="1" w:lastColumn="0" w:lastRow="0" w:noHBand="0" w:noVBand="1" w:val="04A0"/>
      </w:tblPr>
      <w:tblGrid>
        <w:gridCol w:w="3362"/>
        <w:gridCol w:w="3362"/>
        <w:gridCol w:w="3362"/>
      </w:tblGrid>
      <w:tr>
        <w:tc>
          <w:tcPr>
            <w:tcW w:type="dxa" w:w="3362"/>
            <w:shd w:fill="7A1F2B" w:val="clear"/>
          </w:tcPr>
          <w:p>
            <w:pPr>
              <w:spacing w:after="40" w:before="40"/>
            </w:pPr>
            <w:r/>
            <w:r>
              <w:rPr>
                <w:rFonts w:ascii="Calibri" w:hAnsi="Calibri" w:eastAsia="Calibri"/>
                <w:b/>
                <w:i w:val="0"/>
                <w:color w:val="FFFFFF"/>
                <w:sz w:val="20"/>
              </w:rPr>
              <w:t>Line</w:t>
            </w:r>
          </w:p>
        </w:tc>
        <w:tc>
          <w:tcPr>
            <w:tcW w:type="dxa" w:w="3362"/>
            <w:shd w:fill="7A1F2B" w:val="clear"/>
          </w:tcPr>
          <w:p>
            <w:pPr>
              <w:spacing w:after="40" w:before="40"/>
            </w:pPr>
            <w:r/>
            <w:r>
              <w:rPr>
                <w:rFonts w:ascii="Calibri" w:hAnsi="Calibri" w:eastAsia="Calibri"/>
                <w:b/>
                <w:i w:val="0"/>
                <w:color w:val="FFFFFF"/>
                <w:sz w:val="20"/>
              </w:rPr>
              <w:t>Amount</w:t>
            </w:r>
          </w:p>
        </w:tc>
        <w:tc>
          <w:tcPr>
            <w:tcW w:type="dxa" w:w="3362"/>
            <w:shd w:fill="7A1F2B" w:val="clear"/>
          </w:tcPr>
          <w:p>
            <w:pPr>
              <w:spacing w:after="40" w:before="40"/>
            </w:pPr>
            <w:r/>
            <w:r>
              <w:rPr>
                <w:rFonts w:ascii="Calibri" w:hAnsi="Calibri" w:eastAsia="Calibri"/>
                <w:b/>
                <w:i w:val="0"/>
                <w:color w:val="FFFFFF"/>
                <w:sz w:val="20"/>
              </w:rPr>
              <w:t>Source or assumption</w:t>
            </w:r>
          </w:p>
        </w:tc>
      </w:tr>
      <w:tr>
        <w:tc>
          <w:tcPr>
            <w:tcW w:type="dxa" w:w="3362"/>
          </w:tcPr>
          <w:p>
            <w:pPr>
              <w:spacing w:after="40" w:before="40"/>
            </w:pPr>
            <w:r/>
            <w:r>
              <w:rPr>
                <w:rFonts w:ascii="Calibri" w:hAnsi="Calibri" w:eastAsia="Calibri"/>
                <w:b w:val="0"/>
                <w:i w:val="0"/>
                <w:color w:val="1A1A1A"/>
                <w:sz w:val="20"/>
              </w:rPr>
              <w:t>A  All monies paid</w:t>
            </w:r>
          </w:p>
        </w:tc>
        <w:tc>
          <w:tcPr>
            <w:tcW w:type="dxa" w:w="3362"/>
          </w:tcPr>
          <w:p>
            <w:pPr>
              <w:spacing w:after="40" w:before="40"/>
            </w:pPr>
            <w:r/>
            <w:r>
              <w:rPr>
                <w:rFonts w:ascii="Calibri" w:hAnsi="Calibri" w:eastAsia="Calibri"/>
                <w:b w:val="0"/>
                <w:i w:val="0"/>
                <w:color w:val="1A1A1A"/>
                <w:sz w:val="20"/>
              </w:rPr>
              <w:t>£33,269.85</w:t>
            </w:r>
          </w:p>
        </w:tc>
        <w:tc>
          <w:tcPr>
            <w:tcW w:type="dxa" w:w="3362"/>
          </w:tcPr>
          <w:p>
            <w:pPr>
              <w:spacing w:after="40" w:before="40"/>
            </w:pPr>
            <w:r/>
            <w:r>
              <w:rPr>
                <w:rFonts w:ascii="Calibri" w:hAnsi="Calibri" w:eastAsia="Calibri"/>
                <w:b w:val="0"/>
                <w:i w:val="0"/>
                <w:color w:val="1A1A1A"/>
                <w:sz w:val="20"/>
              </w:rPr>
              <w:t>Fact copied from JDH as cited in the opinion (partial bills).</w:t>
            </w:r>
          </w:p>
        </w:tc>
      </w:tr>
      <w:tr>
        <w:tc>
          <w:tcPr>
            <w:tcW w:type="dxa" w:w="3362"/>
            <w:shd w:fill="F4EFE6" w:val="clear"/>
          </w:tcPr>
          <w:p>
            <w:pPr>
              <w:spacing w:after="40" w:before="40"/>
            </w:pPr>
            <w:r/>
            <w:r>
              <w:rPr>
                <w:rFonts w:ascii="Calibri" w:hAnsi="Calibri" w:eastAsia="Calibri"/>
                <w:b w:val="0"/>
                <w:i w:val="0"/>
                <w:color w:val="1A1A1A"/>
                <w:sz w:val="20"/>
              </w:rPr>
              <w:t>C  Wholesale / purchase cost</w:t>
            </w:r>
          </w:p>
        </w:tc>
        <w:tc>
          <w:tcPr>
            <w:tcW w:type="dxa" w:w="3362"/>
            <w:shd w:fill="F4EFE6" w:val="clear"/>
          </w:tcPr>
          <w:p>
            <w:pPr>
              <w:spacing w:after="40" w:before="40"/>
            </w:pPr>
            <w:r/>
            <w:r>
              <w:rPr>
                <w:rFonts w:ascii="Calibri" w:hAnsi="Calibri" w:eastAsia="Calibri"/>
                <w:b w:val="0"/>
                <w:i w:val="0"/>
                <w:color w:val="1A1A1A"/>
                <w:sz w:val="20"/>
              </w:rPr>
              <w:t>£10,639.70</w:t>
            </w:r>
          </w:p>
        </w:tc>
        <w:tc>
          <w:tcPr>
            <w:tcW w:type="dxa" w:w="3362"/>
            <w:shd w:fill="F4EFE6" w:val="clear"/>
          </w:tcPr>
          <w:p>
            <w:pPr>
              <w:spacing w:after="40" w:before="40"/>
            </w:pPr>
            <w:r/>
            <w:r>
              <w:rPr>
                <w:rFonts w:ascii="Calibri" w:hAnsi="Calibri" w:eastAsia="Calibri"/>
                <w:b w:val="0"/>
                <w:i w:val="0"/>
                <w:color w:val="1A1A1A"/>
                <w:sz w:val="20"/>
              </w:rPr>
              <w:t>Fact copied from JDH as cited (OFGEM average wholesale, not Pozitive’s hedge book).</w:t>
            </w:r>
          </w:p>
        </w:tc>
      </w:tr>
      <w:tr>
        <w:tc>
          <w:tcPr>
            <w:tcW w:type="dxa" w:w="3362"/>
          </w:tcPr>
          <w:p>
            <w:pPr>
              <w:spacing w:after="40" w:before="40"/>
            </w:pPr>
            <w:r/>
            <w:r>
              <w:rPr>
                <w:rFonts w:ascii="Calibri" w:hAnsi="Calibri" w:eastAsia="Calibri"/>
                <w:b w:val="0"/>
                <w:i w:val="0"/>
                <w:color w:val="1A1A1A"/>
                <w:sz w:val="20"/>
              </w:rPr>
              <w:t>D  Delivery to meter</w:t>
            </w:r>
          </w:p>
        </w:tc>
        <w:tc>
          <w:tcPr>
            <w:tcW w:type="dxa" w:w="3362"/>
          </w:tcPr>
          <w:p>
            <w:pPr>
              <w:spacing w:after="40" w:before="40"/>
            </w:pPr>
            <w:r/>
            <w:r>
              <w:rPr>
                <w:rFonts w:ascii="Calibri" w:hAnsi="Calibri" w:eastAsia="Calibri"/>
                <w:b w:val="0"/>
                <w:i w:val="0"/>
                <w:color w:val="1A1A1A"/>
                <w:sz w:val="20"/>
              </w:rPr>
              <w:t>£4,255.88</w:t>
            </w:r>
          </w:p>
        </w:tc>
        <w:tc>
          <w:tcPr>
            <w:tcW w:type="dxa" w:w="3362"/>
          </w:tcPr>
          <w:p>
            <w:pPr>
              <w:spacing w:after="40" w:before="40"/>
            </w:pPr>
            <w:r/>
            <w:r>
              <w:rPr>
                <w:rFonts w:ascii="Calibri" w:hAnsi="Calibri" w:eastAsia="Calibri"/>
                <w:b w:val="0"/>
                <w:i w:val="0"/>
                <w:color w:val="1A1A1A"/>
                <w:sz w:val="20"/>
              </w:rPr>
              <w:t>Assumption: 40% × C. Mersenne method, kept as instructed. Not Pozitive’s build-up.</w:t>
            </w:r>
          </w:p>
        </w:tc>
      </w:tr>
      <w:tr>
        <w:tc>
          <w:tcPr>
            <w:tcW w:type="dxa" w:w="3362"/>
            <w:shd w:fill="F4EFE6" w:val="clear"/>
          </w:tcPr>
          <w:p>
            <w:pPr>
              <w:spacing w:after="40" w:before="40"/>
            </w:pPr>
            <w:r/>
            <w:r>
              <w:rPr>
                <w:rFonts w:ascii="Calibri" w:hAnsi="Calibri" w:eastAsia="Calibri"/>
                <w:b w:val="0"/>
                <w:i w:val="0"/>
                <w:color w:val="1A1A1A"/>
                <w:sz w:val="20"/>
              </w:rPr>
              <w:t>C + D</w:t>
            </w:r>
          </w:p>
        </w:tc>
        <w:tc>
          <w:tcPr>
            <w:tcW w:type="dxa" w:w="3362"/>
            <w:shd w:fill="F4EFE6" w:val="clear"/>
          </w:tcPr>
          <w:p>
            <w:pPr>
              <w:spacing w:after="40" w:before="40"/>
            </w:pPr>
            <w:r/>
            <w:r>
              <w:rPr>
                <w:rFonts w:ascii="Calibri" w:hAnsi="Calibri" w:eastAsia="Calibri"/>
                <w:b w:val="0"/>
                <w:i w:val="0"/>
                <w:color w:val="1A1A1A"/>
                <w:sz w:val="20"/>
              </w:rPr>
              <w:t>£14,895.58</w:t>
            </w:r>
          </w:p>
        </w:tc>
        <w:tc>
          <w:tcPr>
            <w:tcW w:type="dxa" w:w="3362"/>
            <w:shd w:fill="F4EFE6" w:val="clear"/>
          </w:tcPr>
          <w:p>
            <w:pPr>
              <w:spacing w:after="40" w:before="40"/>
            </w:pPr>
            <w:r/>
            <w:r>
              <w:rPr>
                <w:rFonts w:ascii="Calibri" w:hAnsi="Calibri" w:eastAsia="Calibri"/>
                <w:b w:val="0"/>
                <w:i w:val="0"/>
                <w:color w:val="1A1A1A"/>
                <w:sz w:val="20"/>
              </w:rPr>
              <w:t>Arithmetic on C and D.</w:t>
            </w:r>
          </w:p>
        </w:tc>
      </w:tr>
      <w:tr>
        <w:tc>
          <w:tcPr>
            <w:tcW w:type="dxa" w:w="3362"/>
          </w:tcPr>
          <w:p>
            <w:pPr>
              <w:spacing w:after="40" w:before="40"/>
            </w:pPr>
            <w:r/>
            <w:r>
              <w:rPr>
                <w:rFonts w:ascii="Calibri" w:hAnsi="Calibri" w:eastAsia="Calibri"/>
                <w:b w:val="0"/>
                <w:i w:val="0"/>
                <w:color w:val="1A1A1A"/>
                <w:sz w:val="20"/>
              </w:rPr>
              <w:t>A − (C + D)  capital</w:t>
            </w:r>
          </w:p>
        </w:tc>
        <w:tc>
          <w:tcPr>
            <w:tcW w:type="dxa" w:w="3362"/>
          </w:tcPr>
          <w:p>
            <w:pPr>
              <w:spacing w:after="40" w:before="40"/>
            </w:pPr>
            <w:r/>
            <w:r>
              <w:rPr>
                <w:rFonts w:ascii="Calibri" w:hAnsi="Calibri" w:eastAsia="Calibri"/>
                <w:b w:val="0"/>
                <w:i w:val="0"/>
                <w:color w:val="1A1A1A"/>
                <w:sz w:val="20"/>
              </w:rPr>
              <w:t>£18,374.27</w:t>
            </w:r>
          </w:p>
        </w:tc>
        <w:tc>
          <w:tcPr>
            <w:tcW w:type="dxa" w:w="3362"/>
          </w:tcPr>
          <w:p>
            <w:pPr>
              <w:spacing w:after="40" w:before="40"/>
            </w:pPr>
            <w:r/>
            <w:r>
              <w:rPr>
                <w:rFonts w:ascii="Calibri" w:hAnsi="Calibri" w:eastAsia="Calibri"/>
                <w:b w:val="0"/>
                <w:i w:val="0"/>
                <w:color w:val="1A1A1A"/>
                <w:sz w:val="20"/>
              </w:rPr>
              <w:t>Arithmetic. Standing charges sit in A and are not in C, so they remain in this net.</w:t>
            </w:r>
          </w:p>
        </w:tc>
      </w:tr>
      <w:tr>
        <w:tc>
          <w:tcPr>
            <w:tcW w:type="dxa" w:w="3362"/>
            <w:shd w:fill="F4EFE6" w:val="clear"/>
          </w:tcPr>
          <w:p>
            <w:pPr>
              <w:spacing w:after="40" w:before="40"/>
            </w:pPr>
            <w:r/>
            <w:r>
              <w:rPr>
                <w:rFonts w:ascii="Calibri" w:hAnsi="Calibri" w:eastAsia="Calibri"/>
                <w:b w:val="0"/>
                <w:i w:val="0"/>
                <w:color w:val="1A1A1A"/>
                <w:sz w:val="20"/>
              </w:rPr>
              <w:t>B  Interest on A</w:t>
            </w:r>
          </w:p>
        </w:tc>
        <w:tc>
          <w:tcPr>
            <w:tcW w:type="dxa" w:w="3362"/>
            <w:shd w:fill="F4EFE6" w:val="clear"/>
          </w:tcPr>
          <w:p>
            <w:pPr>
              <w:spacing w:after="40" w:before="40"/>
            </w:pPr>
            <w:r/>
            <w:r>
              <w:rPr>
                <w:rFonts w:ascii="Calibri" w:hAnsi="Calibri" w:eastAsia="Calibri"/>
                <w:b w:val="0"/>
                <w:i w:val="0"/>
                <w:color w:val="1A1A1A"/>
                <w:sz w:val="20"/>
              </w:rPr>
              <w:t>£11,977.15</w:t>
            </w:r>
          </w:p>
        </w:tc>
        <w:tc>
          <w:tcPr>
            <w:tcW w:type="dxa" w:w="3362"/>
            <w:shd w:fill="F4EFE6" w:val="clear"/>
          </w:tcPr>
          <w:p>
            <w:pPr>
              <w:spacing w:after="40" w:before="40"/>
            </w:pPr>
            <w:r/>
            <w:r>
              <w:rPr>
                <w:rFonts w:ascii="Calibri" w:hAnsi="Calibri" w:eastAsia="Calibri"/>
                <w:b w:val="0"/>
                <w:i w:val="0"/>
                <w:color w:val="1A1A1A"/>
                <w:sz w:val="20"/>
              </w:rPr>
              <w:t>Assumption: 6% simple × 6.00 years. See section 7.</w:t>
            </w:r>
          </w:p>
        </w:tc>
      </w:tr>
      <w:tr>
        <w:tc>
          <w:tcPr>
            <w:tcW w:type="dxa" w:w="3362"/>
          </w:tcPr>
          <w:p>
            <w:pPr>
              <w:spacing w:after="40" w:before="40"/>
            </w:pPr>
            <w:r/>
            <w:r>
              <w:rPr>
                <w:rFonts w:ascii="Calibri" w:hAnsi="Calibri" w:eastAsia="Calibri"/>
                <w:b w:val="0"/>
                <w:i w:val="0"/>
                <w:color w:val="1A1A1A"/>
                <w:sz w:val="20"/>
              </w:rPr>
              <w:t>E  Interest on C + D</w:t>
            </w:r>
          </w:p>
        </w:tc>
        <w:tc>
          <w:tcPr>
            <w:tcW w:type="dxa" w:w="3362"/>
          </w:tcPr>
          <w:p>
            <w:pPr>
              <w:spacing w:after="40" w:before="40"/>
            </w:pPr>
            <w:r/>
            <w:r>
              <w:rPr>
                <w:rFonts w:ascii="Calibri" w:hAnsi="Calibri" w:eastAsia="Calibri"/>
                <w:b w:val="0"/>
                <w:i w:val="0"/>
                <w:color w:val="1A1A1A"/>
                <w:sz w:val="20"/>
              </w:rPr>
              <w:t>£5,362.41</w:t>
            </w:r>
          </w:p>
        </w:tc>
        <w:tc>
          <w:tcPr>
            <w:tcW w:type="dxa" w:w="3362"/>
          </w:tcPr>
          <w:p>
            <w:pPr>
              <w:spacing w:after="40" w:before="40"/>
            </w:pPr>
            <w:r/>
            <w:r>
              <w:rPr>
                <w:rFonts w:ascii="Calibri" w:hAnsi="Calibri" w:eastAsia="Calibri"/>
                <w:b w:val="0"/>
                <w:i w:val="0"/>
                <w:color w:val="1A1A1A"/>
                <w:sz w:val="20"/>
              </w:rPr>
              <w:t>Assumption: 6% simple × 6.00 years on C + D. Same rate as B.</w:t>
            </w:r>
          </w:p>
        </w:tc>
      </w:tr>
      <w:tr>
        <w:tc>
          <w:tcPr>
            <w:tcW w:type="dxa" w:w="3362"/>
            <w:shd w:fill="F4EFE6" w:val="clear"/>
          </w:tcPr>
          <w:p>
            <w:pPr>
              <w:spacing w:after="40" w:before="40"/>
            </w:pPr>
            <w:r/>
            <w:r>
              <w:rPr>
                <w:rFonts w:ascii="Calibri" w:hAnsi="Calibri" w:eastAsia="Calibri"/>
                <w:b w:val="0"/>
                <w:i w:val="0"/>
                <w:color w:val="1A1A1A"/>
                <w:sz w:val="20"/>
              </w:rPr>
              <w:t>A + B</w:t>
            </w:r>
          </w:p>
        </w:tc>
        <w:tc>
          <w:tcPr>
            <w:tcW w:type="dxa" w:w="3362"/>
            <w:shd w:fill="F4EFE6" w:val="clear"/>
          </w:tcPr>
          <w:p>
            <w:pPr>
              <w:spacing w:after="40" w:before="40"/>
            </w:pPr>
            <w:r/>
            <w:r>
              <w:rPr>
                <w:rFonts w:ascii="Calibri" w:hAnsi="Calibri" w:eastAsia="Calibri"/>
                <w:b w:val="0"/>
                <w:i w:val="0"/>
                <w:color w:val="1A1A1A"/>
                <w:sz w:val="20"/>
              </w:rPr>
              <w:t>£45,247.00</w:t>
            </w:r>
          </w:p>
        </w:tc>
        <w:tc>
          <w:tcPr>
            <w:tcW w:type="dxa" w:w="3362"/>
            <w:shd w:fill="F4EFE6" w:val="clear"/>
          </w:tcPr>
          <w:p>
            <w:pPr>
              <w:spacing w:after="40" w:before="40"/>
            </w:pPr>
            <w:r/>
            <w:r>
              <w:rPr>
                <w:rFonts w:ascii="Calibri" w:hAnsi="Calibri" w:eastAsia="Calibri"/>
                <w:b w:val="0"/>
                <w:i w:val="0"/>
                <w:color w:val="1A1A1A"/>
                <w:sz w:val="20"/>
              </w:rPr>
              <w:t>Arithmetic.</w:t>
            </w:r>
          </w:p>
        </w:tc>
      </w:tr>
      <w:tr>
        <w:tc>
          <w:tcPr>
            <w:tcW w:type="dxa" w:w="3362"/>
          </w:tcPr>
          <w:p>
            <w:pPr>
              <w:spacing w:after="40" w:before="40"/>
            </w:pPr>
            <w:r/>
            <w:r>
              <w:rPr>
                <w:rFonts w:ascii="Calibri" w:hAnsi="Calibri" w:eastAsia="Calibri"/>
                <w:b w:val="0"/>
                <w:i w:val="0"/>
                <w:color w:val="1A1A1A"/>
                <w:sz w:val="20"/>
              </w:rPr>
              <w:t>C + D + E</w:t>
            </w:r>
          </w:p>
        </w:tc>
        <w:tc>
          <w:tcPr>
            <w:tcW w:type="dxa" w:w="3362"/>
          </w:tcPr>
          <w:p>
            <w:pPr>
              <w:spacing w:after="40" w:before="40"/>
            </w:pPr>
            <w:r/>
            <w:r>
              <w:rPr>
                <w:rFonts w:ascii="Calibri" w:hAnsi="Calibri" w:eastAsia="Calibri"/>
                <w:b w:val="0"/>
                <w:i w:val="0"/>
                <w:color w:val="1A1A1A"/>
                <w:sz w:val="20"/>
              </w:rPr>
              <w:t>£20,257.99</w:t>
            </w:r>
          </w:p>
        </w:tc>
        <w:tc>
          <w:tcPr>
            <w:tcW w:type="dxa" w:w="3362"/>
          </w:tcPr>
          <w:p>
            <w:pPr>
              <w:spacing w:after="40" w:before="40"/>
            </w:pPr>
            <w:r/>
            <w:r>
              <w:rPr>
                <w:rFonts w:ascii="Calibri" w:hAnsi="Calibri" w:eastAsia="Calibri"/>
                <w:b w:val="0"/>
                <w:i w:val="0"/>
                <w:color w:val="1A1A1A"/>
                <w:sz w:val="20"/>
              </w:rPr>
              <w:t>Arithmetic.</w:t>
            </w:r>
          </w:p>
        </w:tc>
      </w:tr>
      <w:tr>
        <w:tc>
          <w:tcPr>
            <w:tcW w:type="dxa" w:w="3362"/>
            <w:shd w:fill="F4EFE6" w:val="clear"/>
          </w:tcPr>
          <w:p>
            <w:pPr>
              <w:spacing w:after="40" w:before="40"/>
            </w:pPr>
            <w:r/>
            <w:r>
              <w:rPr>
                <w:rFonts w:ascii="Calibri" w:hAnsi="Calibri" w:eastAsia="Calibri"/>
                <w:b w:val="0"/>
                <w:i w:val="0"/>
                <w:color w:val="1A1A1A"/>
                <w:sz w:val="20"/>
              </w:rPr>
              <w:t>(A + B) − (C + D + E)</w:t>
            </w:r>
          </w:p>
        </w:tc>
        <w:tc>
          <w:tcPr>
            <w:tcW w:type="dxa" w:w="3362"/>
            <w:shd w:fill="F4EFE6" w:val="clear"/>
          </w:tcPr>
          <w:p>
            <w:pPr>
              <w:spacing w:after="40" w:before="40"/>
            </w:pPr>
            <w:r/>
            <w:r>
              <w:rPr>
                <w:rFonts w:ascii="Calibri" w:hAnsi="Calibri" w:eastAsia="Calibri"/>
                <w:b w:val="0"/>
                <w:i w:val="0"/>
                <w:color w:val="1A1A1A"/>
                <w:sz w:val="20"/>
              </w:rPr>
              <w:t>£24,989.01</w:t>
            </w:r>
          </w:p>
        </w:tc>
        <w:tc>
          <w:tcPr>
            <w:tcW w:type="dxa" w:w="3362"/>
            <w:shd w:fill="F4EFE6" w:val="clear"/>
          </w:tcPr>
          <w:p>
            <w:pPr>
              <w:spacing w:after="40" w:before="40"/>
            </w:pPr>
            <w:r/>
            <w:r>
              <w:rPr>
                <w:rFonts w:ascii="Calibri" w:hAnsi="Calibri" w:eastAsia="Calibri"/>
                <w:b w:val="0"/>
                <w:i w:val="0"/>
                <w:color w:val="1A1A1A"/>
                <w:sz w:val="20"/>
              </w:rPr>
              <w:t>Arithmetic on the rows above.</w:t>
            </w:r>
          </w:p>
        </w:tc>
      </w:tr>
    </w:tbl>
    <w:p/>
    <w:p>
      <w:pPr>
        <w:spacing w:after="160"/>
      </w:pPr>
      <w:r>
        <w:rPr>
          <w:rFonts w:ascii="Calibri" w:hAnsi="Calibri" w:eastAsia="Calibri"/>
          <w:b w:val="0"/>
          <w:i w:val="0"/>
          <w:color w:val="1A1A1A"/>
          <w:sz w:val="22"/>
        </w:rPr>
        <w:t>Check: £18,374.27 × (1 + 0.06 × 6.00) = £24,989.01, which matches the net.</w:t>
      </w:r>
    </w:p>
    <w:p>
      <w:pPr>
        <w:pStyle w:val="Heading1"/>
      </w:pPr>
      <w:r>
        <w:rPr>
          <w:rFonts w:ascii="Calibri" w:hAnsi="Calibri"/>
          <w:color w:val="7A1F2B"/>
        </w:rPr>
        <w:t>5. Fall-back figure — broker remuneration as JDH printed it</w:t>
      </w:r>
    </w:p>
    <w:p>
      <w:pPr>
        <w:spacing w:after="160"/>
      </w:pPr>
      <w:r>
        <w:rPr>
          <w:rFonts w:ascii="Calibri" w:hAnsi="Calibri" w:eastAsia="Calibri"/>
          <w:b w:val="0"/>
          <w:i w:val="0"/>
          <w:color w:val="1A1A1A"/>
          <w:sz w:val="22"/>
        </w:rPr>
        <w:t>The opinion records a second JDH calculation: 201,781.53 kWh at an average broker uplift of about 3p per kWh = £6,113.81, or £6,880.29 with JDH’s 2% simple interest. The opinion records that this is an estimate from typical uplifts, not from a commission ledger. This valuation copies those two numbers. It does not replace 3p with another rate, and it does not re-state the £6,880.29 at 6%.</w:t>
      </w:r>
    </w:p>
    <w:tbl>
      <w:tblPr>
        <w:tblStyle w:val="TableGrid"/>
        <w:tblW w:type="auto" w:w="0"/>
        <w:tblLook w:firstColumn="1" w:firstRow="1" w:lastColumn="0" w:lastRow="0" w:noHBand="0" w:noVBand="1" w:val="04A0"/>
      </w:tblPr>
      <w:tblGrid>
        <w:gridCol w:w="3362"/>
        <w:gridCol w:w="3362"/>
        <w:gridCol w:w="3362"/>
      </w:tblGrid>
      <w:tr>
        <w:tc>
          <w:tcPr>
            <w:tcW w:type="dxa" w:w="3362"/>
            <w:shd w:fill="7A1F2B" w:val="clear"/>
          </w:tcPr>
          <w:p>
            <w:pPr>
              <w:spacing w:after="40" w:before="40"/>
            </w:pPr>
            <w:r/>
            <w:r>
              <w:rPr>
                <w:rFonts w:ascii="Calibri" w:hAnsi="Calibri" w:eastAsia="Calibri"/>
                <w:b/>
                <w:i w:val="0"/>
                <w:color w:val="FFFFFF"/>
                <w:sz w:val="20"/>
              </w:rPr>
              <w:t>Line</w:t>
            </w:r>
          </w:p>
        </w:tc>
        <w:tc>
          <w:tcPr>
            <w:tcW w:type="dxa" w:w="3362"/>
            <w:shd w:fill="7A1F2B" w:val="clear"/>
          </w:tcPr>
          <w:p>
            <w:pPr>
              <w:spacing w:after="40" w:before="40"/>
            </w:pPr>
            <w:r/>
            <w:r>
              <w:rPr>
                <w:rFonts w:ascii="Calibri" w:hAnsi="Calibri" w:eastAsia="Calibri"/>
                <w:b/>
                <w:i w:val="0"/>
                <w:color w:val="FFFFFF"/>
                <w:sz w:val="20"/>
              </w:rPr>
              <w:t>Amount</w:t>
            </w:r>
          </w:p>
        </w:tc>
        <w:tc>
          <w:tcPr>
            <w:tcW w:type="dxa" w:w="3362"/>
            <w:shd w:fill="7A1F2B" w:val="clear"/>
          </w:tcPr>
          <w:p>
            <w:pPr>
              <w:spacing w:after="40" w:before="40"/>
            </w:pPr>
            <w:r/>
            <w:r>
              <w:rPr>
                <w:rFonts w:ascii="Calibri" w:hAnsi="Calibri" w:eastAsia="Calibri"/>
                <w:b/>
                <w:i w:val="0"/>
                <w:color w:val="FFFFFF"/>
                <w:sz w:val="20"/>
              </w:rPr>
              <w:t>Mark</w:t>
            </w:r>
          </w:p>
        </w:tc>
      </w:tr>
      <w:tr>
        <w:tc>
          <w:tcPr>
            <w:tcW w:type="dxa" w:w="3362"/>
          </w:tcPr>
          <w:p>
            <w:pPr>
              <w:spacing w:after="40" w:before="40"/>
            </w:pPr>
            <w:r/>
            <w:r>
              <w:rPr>
                <w:rFonts w:ascii="Calibri" w:hAnsi="Calibri" w:eastAsia="Calibri"/>
                <w:b w:val="0"/>
                <w:i w:val="0"/>
                <w:color w:val="1A1A1A"/>
                <w:sz w:val="20"/>
              </w:rPr>
              <w:t>kWh</w:t>
            </w:r>
          </w:p>
        </w:tc>
        <w:tc>
          <w:tcPr>
            <w:tcW w:type="dxa" w:w="3362"/>
          </w:tcPr>
          <w:p>
            <w:pPr>
              <w:spacing w:after="40" w:before="40"/>
            </w:pPr>
            <w:r/>
            <w:r>
              <w:rPr>
                <w:rFonts w:ascii="Calibri" w:hAnsi="Calibri" w:eastAsia="Calibri"/>
                <w:b w:val="0"/>
                <w:i w:val="0"/>
                <w:color w:val="1A1A1A"/>
                <w:sz w:val="20"/>
              </w:rPr>
              <w:t>201,781.53</w:t>
            </w:r>
          </w:p>
        </w:tc>
        <w:tc>
          <w:tcPr>
            <w:tcW w:type="dxa" w:w="3362"/>
          </w:tcPr>
          <w:p>
            <w:pPr>
              <w:spacing w:after="40" w:before="40"/>
            </w:pPr>
            <w:r/>
            <w:r>
              <w:rPr>
                <w:rFonts w:ascii="Calibri" w:hAnsi="Calibri" w:eastAsia="Calibri"/>
                <w:b w:val="0"/>
                <w:i w:val="0"/>
                <w:color w:val="1A1A1A"/>
                <w:sz w:val="20"/>
              </w:rPr>
              <w:t>JDH as cited</w:t>
            </w:r>
          </w:p>
        </w:tc>
      </w:tr>
      <w:tr>
        <w:tc>
          <w:tcPr>
            <w:tcW w:type="dxa" w:w="3362"/>
            <w:shd w:fill="F4EFE6" w:val="clear"/>
          </w:tcPr>
          <w:p>
            <w:pPr>
              <w:spacing w:after="40" w:before="40"/>
            </w:pPr>
            <w:r/>
            <w:r>
              <w:rPr>
                <w:rFonts w:ascii="Calibri" w:hAnsi="Calibri" w:eastAsia="Calibri"/>
                <w:b w:val="0"/>
                <w:i w:val="0"/>
                <w:color w:val="1A1A1A"/>
                <w:sz w:val="20"/>
              </w:rPr>
              <w:t>Uplift used by JDH</w:t>
            </w:r>
          </w:p>
        </w:tc>
        <w:tc>
          <w:tcPr>
            <w:tcW w:type="dxa" w:w="3362"/>
            <w:shd w:fill="F4EFE6" w:val="clear"/>
          </w:tcPr>
          <w:p>
            <w:pPr>
              <w:spacing w:after="40" w:before="40"/>
            </w:pPr>
            <w:r/>
            <w:r>
              <w:rPr>
                <w:rFonts w:ascii="Calibri" w:hAnsi="Calibri" w:eastAsia="Calibri"/>
                <w:b w:val="0"/>
                <w:i w:val="0"/>
                <w:color w:val="1A1A1A"/>
                <w:sz w:val="20"/>
              </w:rPr>
              <w:t>about 3p per kWh</w:t>
            </w:r>
          </w:p>
        </w:tc>
        <w:tc>
          <w:tcPr>
            <w:tcW w:type="dxa" w:w="3362"/>
            <w:shd w:fill="F4EFE6" w:val="clear"/>
          </w:tcPr>
          <w:p>
            <w:pPr>
              <w:spacing w:after="40" w:before="40"/>
            </w:pPr>
            <w:r/>
            <w:r>
              <w:rPr>
                <w:rFonts w:ascii="Calibri" w:hAnsi="Calibri" w:eastAsia="Calibri"/>
                <w:b w:val="0"/>
                <w:i w:val="0"/>
                <w:color w:val="1A1A1A"/>
                <w:sz w:val="20"/>
              </w:rPr>
              <w:t>JDH estimate — not a ledger</w:t>
            </w:r>
          </w:p>
        </w:tc>
      </w:tr>
      <w:tr>
        <w:tc>
          <w:tcPr>
            <w:tcW w:type="dxa" w:w="3362"/>
          </w:tcPr>
          <w:p>
            <w:pPr>
              <w:spacing w:after="40" w:before="40"/>
            </w:pPr>
            <w:r/>
            <w:r>
              <w:rPr>
                <w:rFonts w:ascii="Calibri" w:hAnsi="Calibri" w:eastAsia="Calibri"/>
                <w:b w:val="0"/>
                <w:i w:val="0"/>
                <w:color w:val="1A1A1A"/>
                <w:sz w:val="20"/>
              </w:rPr>
              <w:t>Before JDH interest</w:t>
            </w:r>
          </w:p>
        </w:tc>
        <w:tc>
          <w:tcPr>
            <w:tcW w:type="dxa" w:w="3362"/>
          </w:tcPr>
          <w:p>
            <w:pPr>
              <w:spacing w:after="40" w:before="40"/>
            </w:pPr>
            <w:r/>
            <w:r>
              <w:rPr>
                <w:rFonts w:ascii="Calibri" w:hAnsi="Calibri" w:eastAsia="Calibri"/>
                <w:b w:val="0"/>
                <w:i w:val="0"/>
                <w:color w:val="1A1A1A"/>
                <w:sz w:val="20"/>
              </w:rPr>
              <w:t>£6,113.81</w:t>
            </w:r>
          </w:p>
        </w:tc>
        <w:tc>
          <w:tcPr>
            <w:tcW w:type="dxa" w:w="3362"/>
          </w:tcPr>
          <w:p>
            <w:pPr>
              <w:spacing w:after="40" w:before="40"/>
            </w:pPr>
            <w:r/>
            <w:r>
              <w:rPr>
                <w:rFonts w:ascii="Calibri" w:hAnsi="Calibri" w:eastAsia="Calibri"/>
                <w:b w:val="0"/>
                <w:i w:val="0"/>
                <w:color w:val="1A1A1A"/>
                <w:sz w:val="20"/>
              </w:rPr>
              <w:t>Copied</w:t>
            </w:r>
          </w:p>
        </w:tc>
      </w:tr>
      <w:tr>
        <w:tc>
          <w:tcPr>
            <w:tcW w:type="dxa" w:w="3362"/>
            <w:shd w:fill="F4EFE6" w:val="clear"/>
          </w:tcPr>
          <w:p>
            <w:pPr>
              <w:spacing w:after="40" w:before="40"/>
            </w:pPr>
            <w:r/>
            <w:r>
              <w:rPr>
                <w:rFonts w:ascii="Calibri" w:hAnsi="Calibri" w:eastAsia="Calibri"/>
                <w:b w:val="0"/>
                <w:i w:val="0"/>
                <w:color w:val="1A1A1A"/>
                <w:sz w:val="20"/>
              </w:rPr>
              <w:t>With JDH’s 2% interest</w:t>
            </w:r>
          </w:p>
        </w:tc>
        <w:tc>
          <w:tcPr>
            <w:tcW w:type="dxa" w:w="3362"/>
            <w:shd w:fill="F4EFE6" w:val="clear"/>
          </w:tcPr>
          <w:p>
            <w:pPr>
              <w:spacing w:after="40" w:before="40"/>
            </w:pPr>
            <w:r/>
            <w:r>
              <w:rPr>
                <w:rFonts w:ascii="Calibri" w:hAnsi="Calibri" w:eastAsia="Calibri"/>
                <w:b w:val="0"/>
                <w:i w:val="0"/>
                <w:color w:val="1A1A1A"/>
                <w:sz w:val="20"/>
              </w:rPr>
              <w:t>£6,880.29</w:t>
            </w:r>
          </w:p>
        </w:tc>
        <w:tc>
          <w:tcPr>
            <w:tcW w:type="dxa" w:w="3362"/>
            <w:shd w:fill="F4EFE6" w:val="clear"/>
          </w:tcPr>
          <w:p>
            <w:pPr>
              <w:spacing w:after="40" w:before="40"/>
            </w:pPr>
            <w:r/>
            <w:r>
              <w:rPr>
                <w:rFonts w:ascii="Calibri" w:hAnsi="Calibri" w:eastAsia="Calibri"/>
                <w:b w:val="0"/>
                <w:i w:val="0"/>
                <w:color w:val="1A1A1A"/>
                <w:sz w:val="20"/>
              </w:rPr>
              <w:t>Copied — not re-rated</w:t>
            </w:r>
          </w:p>
        </w:tc>
      </w:tr>
    </w:tbl>
    <w:p/>
    <w:p>
      <w:pPr>
        <w:pStyle w:val="Heading1"/>
      </w:pPr>
      <w:r>
        <w:rPr>
          <w:rFonts w:ascii="Calibri" w:hAnsi="Calibri"/>
          <w:color w:val="7A1F2B"/>
        </w:rPr>
        <w:t>6. JDH’s own Wood-style net — cross-check</w:t>
      </w:r>
    </w:p>
    <w:p>
      <w:pPr>
        <w:spacing w:after="160"/>
      </w:pPr>
      <w:r>
        <w:rPr>
          <w:rFonts w:ascii="Calibri" w:hAnsi="Calibri" w:eastAsia="Calibri"/>
          <w:b w:val="0"/>
          <w:i w:val="0"/>
          <w:color w:val="1A1A1A"/>
          <w:sz w:val="22"/>
        </w:rPr>
        <w:t>JDH printed £29,685.72 using A £33,269.85, C £10,639.70, 4% simple on A and 2% simple on C, with no 40% on C. The opinion describes that net as sitting at the optimistic end of Wood because delivery cost is not credited. It is shown here as a cross-check. It is not this valuation’s working net.</w:t>
      </w:r>
    </w:p>
    <w:tbl>
      <w:tblPr>
        <w:tblStyle w:val="TableGrid"/>
        <w:tblW w:type="auto" w:w="0"/>
        <w:tblLook w:firstColumn="1" w:firstRow="1" w:lastColumn="0" w:lastRow="0" w:noHBand="0" w:noVBand="1" w:val="04A0"/>
      </w:tblPr>
      <w:tblGrid>
        <w:gridCol w:w="5043"/>
        <w:gridCol w:w="5043"/>
      </w:tblGrid>
      <w:tr>
        <w:tc>
          <w:tcPr>
            <w:tcW w:type="dxa" w:w="5043"/>
            <w:shd w:fill="7A1F2B" w:val="clear"/>
          </w:tcPr>
          <w:p>
            <w:pPr>
              <w:spacing w:after="40" w:before="40"/>
            </w:pPr>
            <w:r/>
            <w:r>
              <w:rPr>
                <w:rFonts w:ascii="Calibri" w:hAnsi="Calibri" w:eastAsia="Calibri"/>
                <w:b/>
                <w:i w:val="0"/>
                <w:color w:val="FFFFFF"/>
                <w:sz w:val="20"/>
              </w:rPr>
              <w:t>Item</w:t>
            </w:r>
          </w:p>
        </w:tc>
        <w:tc>
          <w:tcPr>
            <w:tcW w:type="dxa" w:w="5043"/>
            <w:shd w:fill="7A1F2B" w:val="clear"/>
          </w:tcPr>
          <w:p>
            <w:pPr>
              <w:spacing w:after="40" w:before="40"/>
            </w:pPr>
            <w:r/>
            <w:r>
              <w:rPr>
                <w:rFonts w:ascii="Calibri" w:hAnsi="Calibri" w:eastAsia="Calibri"/>
                <w:b/>
                <w:i w:val="0"/>
                <w:color w:val="FFFFFF"/>
                <w:sz w:val="20"/>
              </w:rPr>
              <w:t>Amount</w:t>
            </w:r>
          </w:p>
        </w:tc>
      </w:tr>
      <w:tr>
        <w:tc>
          <w:tcPr>
            <w:tcW w:type="dxa" w:w="5043"/>
          </w:tcPr>
          <w:p>
            <w:pPr>
              <w:spacing w:after="40" w:before="40"/>
            </w:pPr>
            <w:r/>
            <w:r>
              <w:rPr>
                <w:rFonts w:ascii="Calibri" w:hAnsi="Calibri" w:eastAsia="Calibri"/>
                <w:b w:val="0"/>
                <w:i w:val="0"/>
                <w:color w:val="1A1A1A"/>
                <w:sz w:val="20"/>
              </w:rPr>
              <w:t>JDH net, 4% / 2%, bare wholesale</w:t>
            </w:r>
          </w:p>
        </w:tc>
        <w:tc>
          <w:tcPr>
            <w:tcW w:type="dxa" w:w="5043"/>
          </w:tcPr>
          <w:p>
            <w:pPr>
              <w:spacing w:after="40" w:before="40"/>
            </w:pPr>
            <w:r/>
            <w:r>
              <w:rPr>
                <w:rFonts w:ascii="Calibri" w:hAnsi="Calibri" w:eastAsia="Calibri"/>
                <w:b w:val="0"/>
                <w:i w:val="0"/>
                <w:color w:val="1A1A1A"/>
                <w:sz w:val="20"/>
              </w:rPr>
              <w:t>£29,685.72</w:t>
            </w:r>
          </w:p>
        </w:tc>
      </w:tr>
      <w:tr>
        <w:tc>
          <w:tcPr>
            <w:tcW w:type="dxa" w:w="5043"/>
            <w:shd w:fill="F4EFE6" w:val="clear"/>
          </w:tcPr>
          <w:p>
            <w:pPr>
              <w:spacing w:after="40" w:before="40"/>
            </w:pPr>
            <w:r/>
            <w:r>
              <w:rPr>
                <w:rFonts w:ascii="Calibri" w:hAnsi="Calibri" w:eastAsia="Calibri"/>
                <w:b w:val="0"/>
                <w:i w:val="0"/>
                <w:color w:val="1A1A1A"/>
                <w:sz w:val="20"/>
              </w:rPr>
              <w:t>This valuation’s working net, 6% / 6%, 40% on C</w:t>
            </w:r>
          </w:p>
        </w:tc>
        <w:tc>
          <w:tcPr>
            <w:tcW w:type="dxa" w:w="5043"/>
            <w:shd w:fill="F4EFE6" w:val="clear"/>
          </w:tcPr>
          <w:p>
            <w:pPr>
              <w:spacing w:after="40" w:before="40"/>
            </w:pPr>
            <w:r/>
            <w:r>
              <w:rPr>
                <w:rFonts w:ascii="Calibri" w:hAnsi="Calibri" w:eastAsia="Calibri"/>
                <w:b w:val="0"/>
                <w:i w:val="0"/>
                <w:color w:val="1A1A1A"/>
                <w:sz w:val="20"/>
              </w:rPr>
              <w:t>£24,989.01</w:t>
            </w:r>
          </w:p>
        </w:tc>
      </w:tr>
      <w:tr>
        <w:tc>
          <w:tcPr>
            <w:tcW w:type="dxa" w:w="5043"/>
          </w:tcPr>
          <w:p>
            <w:pPr>
              <w:spacing w:after="40" w:before="40"/>
            </w:pPr>
            <w:r/>
            <w:r>
              <w:rPr>
                <w:rFonts w:ascii="Calibri" w:hAnsi="Calibri" w:eastAsia="Calibri"/>
                <w:b w:val="0"/>
                <w:i w:val="0"/>
                <w:color w:val="1A1A1A"/>
                <w:sz w:val="20"/>
              </w:rPr>
              <w:t>Difference (this valuation is lower)</w:t>
            </w:r>
          </w:p>
        </w:tc>
        <w:tc>
          <w:tcPr>
            <w:tcW w:type="dxa" w:w="5043"/>
          </w:tcPr>
          <w:p>
            <w:pPr>
              <w:spacing w:after="40" w:before="40"/>
            </w:pPr>
            <w:r/>
            <w:r>
              <w:rPr>
                <w:rFonts w:ascii="Calibri" w:hAnsi="Calibri" w:eastAsia="Calibri"/>
                <w:b w:val="0"/>
                <w:i w:val="0"/>
                <w:color w:val="1A1A1A"/>
                <w:sz w:val="20"/>
              </w:rPr>
              <w:t>£4,696.71</w:t>
            </w:r>
          </w:p>
        </w:tc>
      </w:tr>
    </w:tbl>
    <w:p/>
    <w:p>
      <w:pPr>
        <w:pStyle w:val="Heading1"/>
      </w:pPr>
      <w:r>
        <w:rPr>
          <w:rFonts w:ascii="Calibri" w:hAnsi="Calibri"/>
          <w:color w:val="7A1F2B"/>
        </w:rPr>
        <w:t>7. Interest</w:t>
      </w:r>
    </w:p>
    <w:p>
      <w:pPr>
        <w:spacing w:after="160"/>
      </w:pPr>
      <w:r>
        <w:rPr>
          <w:rFonts w:ascii="Calibri" w:hAnsi="Calibri" w:eastAsia="Calibri"/>
          <w:b w:val="0"/>
          <w:i w:val="0"/>
          <w:color w:val="1A1A1A"/>
          <w:sz w:val="22"/>
        </w:rPr>
        <w:t>Mersenne applied one compensatory rate on both the customer’s payments and the supplier credit. On the earlier Centurion fill that rate was 8%, taken from Mersenne as cited there. You instructed that this valuation use 6% instead, and keep that one-rate-both-sides shape. JDH’s 4% and 2% (the Wood differential they followed) are not used in the working table.</w:t>
      </w:r>
    </w:p>
    <w:p>
      <w:pPr>
        <w:spacing w:after="160"/>
      </w:pPr>
      <w:r>
        <w:rPr>
          <w:rFonts w:ascii="Calibri" w:hAnsi="Calibri" w:eastAsia="Calibri"/>
          <w:b w:val="0"/>
          <w:i w:val="0"/>
          <w:color w:val="1A1A1A"/>
          <w:sz w:val="22"/>
        </w:rPr>
        <w:t>The 6.00 years is the clock from the mid-point of the four-year supply (24 July 2020) to JDH’s calculation date (21 July 2026). That is an assumption so that 6% can be turned into pounds without a blended reverse-engineering of JDH’s 4%/2% identity. It is not a count of each invoice date. Those dates are not in this pack.</w:t>
      </w:r>
    </w:p>
    <w:tbl>
      <w:tblPr>
        <w:tblStyle w:val="TableGrid"/>
        <w:tblW w:type="auto" w:w="0"/>
        <w:tblLook w:firstColumn="1" w:firstRow="1" w:lastColumn="0" w:lastRow="0" w:noHBand="0" w:noVBand="1" w:val="04A0"/>
      </w:tblPr>
      <w:tblGrid>
        <w:gridCol w:w="3362"/>
        <w:gridCol w:w="3362"/>
        <w:gridCol w:w="3362"/>
      </w:tblGrid>
      <w:tr>
        <w:tc>
          <w:tcPr>
            <w:tcW w:type="dxa" w:w="3362"/>
            <w:shd w:fill="7A1F2B" w:val="clear"/>
          </w:tcPr>
          <w:p>
            <w:pPr>
              <w:spacing w:after="40" w:before="40"/>
            </w:pPr>
            <w:r/>
            <w:r>
              <w:rPr>
                <w:rFonts w:ascii="Calibri" w:hAnsi="Calibri" w:eastAsia="Calibri"/>
                <w:b/>
                <w:i w:val="0"/>
                <w:color w:val="FFFFFF"/>
                <w:sz w:val="20"/>
              </w:rPr>
              <w:t>Interest item</w:t>
            </w:r>
          </w:p>
        </w:tc>
        <w:tc>
          <w:tcPr>
            <w:tcW w:type="dxa" w:w="3362"/>
            <w:shd w:fill="7A1F2B" w:val="clear"/>
          </w:tcPr>
          <w:p>
            <w:pPr>
              <w:spacing w:after="40" w:before="40"/>
            </w:pPr>
            <w:r/>
            <w:r>
              <w:rPr>
                <w:rFonts w:ascii="Calibri" w:hAnsi="Calibri" w:eastAsia="Calibri"/>
                <w:b/>
                <w:i w:val="0"/>
                <w:color w:val="FFFFFF"/>
                <w:sz w:val="20"/>
              </w:rPr>
              <w:t>What was used</w:t>
            </w:r>
          </w:p>
        </w:tc>
        <w:tc>
          <w:tcPr>
            <w:tcW w:type="dxa" w:w="3362"/>
            <w:shd w:fill="7A1F2B" w:val="clear"/>
          </w:tcPr>
          <w:p>
            <w:pPr>
              <w:spacing w:after="40" w:before="40"/>
            </w:pPr>
            <w:r/>
            <w:r>
              <w:rPr>
                <w:rFonts w:ascii="Calibri" w:hAnsi="Calibri" w:eastAsia="Calibri"/>
                <w:b/>
                <w:i w:val="0"/>
                <w:color w:val="FFFFFF"/>
                <w:sz w:val="20"/>
              </w:rPr>
              <w:t>What was not used</w:t>
            </w:r>
          </w:p>
        </w:tc>
      </w:tr>
      <w:tr>
        <w:tc>
          <w:tcPr>
            <w:tcW w:type="dxa" w:w="3362"/>
          </w:tcPr>
          <w:p>
            <w:pPr>
              <w:spacing w:after="40" w:before="40"/>
            </w:pPr>
            <w:r/>
            <w:r>
              <w:rPr>
                <w:rFonts w:ascii="Calibri" w:hAnsi="Calibri" w:eastAsia="Calibri"/>
                <w:b w:val="0"/>
                <w:i w:val="0"/>
                <w:color w:val="1A1A1A"/>
                <w:sz w:val="20"/>
              </w:rPr>
              <w:t>Rate on A (B)</w:t>
            </w:r>
          </w:p>
        </w:tc>
        <w:tc>
          <w:tcPr>
            <w:tcW w:type="dxa" w:w="3362"/>
          </w:tcPr>
          <w:p>
            <w:pPr>
              <w:spacing w:after="40" w:before="40"/>
            </w:pPr>
            <w:r/>
            <w:r>
              <w:rPr>
                <w:rFonts w:ascii="Calibri" w:hAnsi="Calibri" w:eastAsia="Calibri"/>
                <w:b w:val="0"/>
                <w:i w:val="0"/>
                <w:color w:val="1A1A1A"/>
                <w:sz w:val="20"/>
              </w:rPr>
              <w:t>6% simple</w:t>
            </w:r>
          </w:p>
        </w:tc>
        <w:tc>
          <w:tcPr>
            <w:tcW w:type="dxa" w:w="3362"/>
          </w:tcPr>
          <w:p>
            <w:pPr>
              <w:spacing w:after="40" w:before="40"/>
            </w:pPr>
            <w:r/>
            <w:r>
              <w:rPr>
                <w:rFonts w:ascii="Calibri" w:hAnsi="Calibri" w:eastAsia="Calibri"/>
                <w:b w:val="0"/>
                <w:i w:val="0"/>
                <w:color w:val="1A1A1A"/>
                <w:sz w:val="20"/>
              </w:rPr>
              <w:t>JDH 4%; Mersenne 8%; SONIA; Judgments Act 8%</w:t>
            </w:r>
          </w:p>
        </w:tc>
      </w:tr>
      <w:tr>
        <w:tc>
          <w:tcPr>
            <w:tcW w:type="dxa" w:w="3362"/>
            <w:shd w:fill="F4EFE6" w:val="clear"/>
          </w:tcPr>
          <w:p>
            <w:pPr>
              <w:spacing w:after="40" w:before="40"/>
            </w:pPr>
            <w:r/>
            <w:r>
              <w:rPr>
                <w:rFonts w:ascii="Calibri" w:hAnsi="Calibri" w:eastAsia="Calibri"/>
                <w:b w:val="0"/>
                <w:i w:val="0"/>
                <w:color w:val="1A1A1A"/>
                <w:sz w:val="20"/>
              </w:rPr>
              <w:t>Rate on C + D (E)</w:t>
            </w:r>
          </w:p>
        </w:tc>
        <w:tc>
          <w:tcPr>
            <w:tcW w:type="dxa" w:w="3362"/>
            <w:shd w:fill="F4EFE6" w:val="clear"/>
          </w:tcPr>
          <w:p>
            <w:pPr>
              <w:spacing w:after="40" w:before="40"/>
            </w:pPr>
            <w:r/>
            <w:r>
              <w:rPr>
                <w:rFonts w:ascii="Calibri" w:hAnsi="Calibri" w:eastAsia="Calibri"/>
                <w:b w:val="0"/>
                <w:i w:val="0"/>
                <w:color w:val="1A1A1A"/>
                <w:sz w:val="20"/>
              </w:rPr>
              <w:t>6% simple</w:t>
            </w:r>
          </w:p>
        </w:tc>
        <w:tc>
          <w:tcPr>
            <w:tcW w:type="dxa" w:w="3362"/>
            <w:shd w:fill="F4EFE6" w:val="clear"/>
          </w:tcPr>
          <w:p>
            <w:pPr>
              <w:spacing w:after="40" w:before="40"/>
            </w:pPr>
            <w:r/>
            <w:r>
              <w:rPr>
                <w:rFonts w:ascii="Calibri" w:hAnsi="Calibri" w:eastAsia="Calibri"/>
                <w:b w:val="0"/>
                <w:i w:val="0"/>
                <w:color w:val="1A1A1A"/>
                <w:sz w:val="20"/>
              </w:rPr>
              <w:t>JDH 2%</w:t>
            </w:r>
          </w:p>
        </w:tc>
      </w:tr>
      <w:tr>
        <w:tc>
          <w:tcPr>
            <w:tcW w:type="dxa" w:w="3362"/>
          </w:tcPr>
          <w:p>
            <w:pPr>
              <w:spacing w:after="40" w:before="40"/>
            </w:pPr>
            <w:r/>
            <w:r>
              <w:rPr>
                <w:rFonts w:ascii="Calibri" w:hAnsi="Calibri" w:eastAsia="Calibri"/>
                <w:b w:val="0"/>
                <w:i w:val="0"/>
                <w:color w:val="1A1A1A"/>
                <w:sz w:val="20"/>
              </w:rPr>
              <w:t>Period</w:t>
            </w:r>
          </w:p>
        </w:tc>
        <w:tc>
          <w:tcPr>
            <w:tcW w:type="dxa" w:w="3362"/>
          </w:tcPr>
          <w:p>
            <w:pPr>
              <w:spacing w:after="40" w:before="40"/>
            </w:pPr>
            <w:r/>
            <w:r>
              <w:rPr>
                <w:rFonts w:ascii="Calibri" w:hAnsi="Calibri" w:eastAsia="Calibri"/>
                <w:b w:val="0"/>
                <w:i w:val="0"/>
                <w:color w:val="1A1A1A"/>
                <w:sz w:val="20"/>
              </w:rPr>
              <w:t>6.00 years, mid-supply to 21 July 2026</w:t>
            </w:r>
          </w:p>
        </w:tc>
        <w:tc>
          <w:tcPr>
            <w:tcW w:type="dxa" w:w="3362"/>
          </w:tcPr>
          <w:p>
            <w:pPr>
              <w:spacing w:after="40" w:before="40"/>
            </w:pPr>
            <w:r/>
            <w:r>
              <w:rPr>
                <w:rFonts w:ascii="Calibri" w:hAnsi="Calibri" w:eastAsia="Calibri"/>
                <w:b w:val="0"/>
                <w:i w:val="0"/>
                <w:color w:val="1A1A1A"/>
                <w:sz w:val="20"/>
              </w:rPr>
              <w:t>Bill-by-bill dates</w:t>
            </w:r>
          </w:p>
        </w:tc>
      </w:tr>
    </w:tbl>
    <w:p/>
    <w:p>
      <w:pPr>
        <w:pStyle w:val="Heading1"/>
      </w:pPr>
      <w:r>
        <w:rPr>
          <w:rFonts w:ascii="Calibri" w:hAnsi="Calibri"/>
          <w:color w:val="7A1F2B"/>
        </w:rPr>
        <w:t>8. Assumptions — each one named</w:t>
      </w:r>
    </w:p>
    <w:p>
      <w:pPr>
        <w:spacing w:after="160"/>
      </w:pPr>
      <w:r>
        <w:rPr>
          <w:rFonts w:ascii="Calibri" w:hAnsi="Calibri" w:eastAsia="Calibri"/>
          <w:b w:val="0"/>
          <w:i w:val="0"/>
          <w:color w:val="1A1A1A"/>
          <w:sz w:val="22"/>
        </w:rPr>
        <w:t>If an assumption is wrong, only that row moves. Nothing else was filled from imagination.</w:t>
      </w:r>
    </w:p>
    <w:tbl>
      <w:tblPr>
        <w:tblStyle w:val="TableGrid"/>
        <w:tblW w:type="auto" w:w="0"/>
        <w:tblLook w:firstColumn="1" w:firstRow="1" w:lastColumn="0" w:lastRow="0" w:noHBand="0" w:noVBand="1" w:val="04A0"/>
      </w:tblPr>
      <w:tblGrid>
        <w:gridCol w:w="3362"/>
        <w:gridCol w:w="3362"/>
        <w:gridCol w:w="3362"/>
      </w:tblGrid>
      <w:tr>
        <w:tc>
          <w:tcPr>
            <w:tcW w:type="dxa" w:w="3362"/>
            <w:shd w:fill="7A1F2B" w:val="clear"/>
          </w:tcPr>
          <w:p>
            <w:pPr>
              <w:spacing w:after="40" w:before="40"/>
            </w:pPr>
            <w:r/>
            <w:r>
              <w:rPr>
                <w:rFonts w:ascii="Calibri" w:hAnsi="Calibri" w:eastAsia="Calibri"/>
                <w:b/>
                <w:i w:val="0"/>
                <w:color w:val="FFFFFF"/>
                <w:sz w:val="20"/>
              </w:rPr>
              <w:t>Assumption</w:t>
            </w:r>
          </w:p>
        </w:tc>
        <w:tc>
          <w:tcPr>
            <w:tcW w:type="dxa" w:w="3362"/>
            <w:shd w:fill="7A1F2B" w:val="clear"/>
          </w:tcPr>
          <w:p>
            <w:pPr>
              <w:spacing w:after="40" w:before="40"/>
            </w:pPr>
            <w:r/>
            <w:r>
              <w:rPr>
                <w:rFonts w:ascii="Calibri" w:hAnsi="Calibri" w:eastAsia="Calibri"/>
                <w:b/>
                <w:i w:val="0"/>
                <w:color w:val="FFFFFF"/>
                <w:sz w:val="20"/>
              </w:rPr>
              <w:t>Why it is here</w:t>
            </w:r>
          </w:p>
        </w:tc>
        <w:tc>
          <w:tcPr>
            <w:tcW w:type="dxa" w:w="3362"/>
            <w:shd w:fill="7A1F2B" w:val="clear"/>
          </w:tcPr>
          <w:p>
            <w:pPr>
              <w:spacing w:after="40" w:before="40"/>
            </w:pPr>
            <w:r/>
            <w:r>
              <w:rPr>
                <w:rFonts w:ascii="Calibri" w:hAnsi="Calibri" w:eastAsia="Calibri"/>
                <w:b/>
                <w:i w:val="0"/>
                <w:color w:val="FFFFFF"/>
                <w:sz w:val="20"/>
              </w:rPr>
              <w:t>What happens if it is replaced</w:t>
            </w:r>
          </w:p>
        </w:tc>
      </w:tr>
      <w:tr>
        <w:tc>
          <w:tcPr>
            <w:tcW w:type="dxa" w:w="3362"/>
          </w:tcPr>
          <w:p>
            <w:pPr>
              <w:spacing w:after="40" w:before="40"/>
            </w:pPr>
            <w:r/>
            <w:r>
              <w:rPr>
                <w:rFonts w:ascii="Calibri" w:hAnsi="Calibri" w:eastAsia="Calibri"/>
                <w:b w:val="0"/>
                <w:i w:val="0"/>
                <w:color w:val="1A1A1A"/>
                <w:sz w:val="20"/>
              </w:rPr>
              <w:t>D = 40% of C</w:t>
            </w:r>
          </w:p>
        </w:tc>
        <w:tc>
          <w:tcPr>
            <w:tcW w:type="dxa" w:w="3362"/>
          </w:tcPr>
          <w:p>
            <w:pPr>
              <w:spacing w:after="40" w:before="40"/>
            </w:pPr>
            <w:r/>
            <w:r>
              <w:rPr>
                <w:rFonts w:ascii="Calibri" w:hAnsi="Calibri" w:eastAsia="Calibri"/>
                <w:b w:val="0"/>
                <w:i w:val="0"/>
                <w:color w:val="1A1A1A"/>
                <w:sz w:val="20"/>
              </w:rPr>
              <w:t>Mersenne treated operating / delivery cost as a 40% uplift on wholesale. You instructed that this be kept.</w:t>
            </w:r>
          </w:p>
        </w:tc>
        <w:tc>
          <w:tcPr>
            <w:tcW w:type="dxa" w:w="3362"/>
          </w:tcPr>
          <w:p>
            <w:pPr>
              <w:spacing w:after="40" w:before="40"/>
            </w:pPr>
            <w:r/>
            <w:r>
              <w:rPr>
                <w:rFonts w:ascii="Calibri" w:hAnsi="Calibri" w:eastAsia="Calibri"/>
                <w:b w:val="0"/>
                <w:i w:val="0"/>
                <w:color w:val="1A1A1A"/>
                <w:sz w:val="20"/>
              </w:rPr>
              <w:t>When Pozitive’s delivery-cost build-up exists, D is replaced. The 40% cell is then retired.</w:t>
            </w:r>
          </w:p>
        </w:tc>
      </w:tr>
      <w:tr>
        <w:tc>
          <w:tcPr>
            <w:tcW w:type="dxa" w:w="3362"/>
            <w:shd w:fill="F4EFE6" w:val="clear"/>
          </w:tcPr>
          <w:p>
            <w:pPr>
              <w:spacing w:after="40" w:before="40"/>
            </w:pPr>
            <w:r/>
            <w:r>
              <w:rPr>
                <w:rFonts w:ascii="Calibri" w:hAnsi="Calibri" w:eastAsia="Calibri"/>
                <w:b w:val="0"/>
                <w:i w:val="0"/>
                <w:color w:val="1A1A1A"/>
                <w:sz w:val="20"/>
              </w:rPr>
              <w:t>B = E = 6% simple</w:t>
            </w:r>
          </w:p>
        </w:tc>
        <w:tc>
          <w:tcPr>
            <w:tcW w:type="dxa" w:w="3362"/>
            <w:shd w:fill="F4EFE6" w:val="clear"/>
          </w:tcPr>
          <w:p>
            <w:pPr>
              <w:spacing w:after="40" w:before="40"/>
            </w:pPr>
            <w:r/>
            <w:r>
              <w:rPr>
                <w:rFonts w:ascii="Calibri" w:hAnsi="Calibri" w:eastAsia="Calibri"/>
                <w:b w:val="0"/>
                <w:i w:val="0"/>
                <w:color w:val="1A1A1A"/>
                <w:sz w:val="20"/>
              </w:rPr>
              <w:t>Mersenne used one compensatory rate both sides. You instructed 6% in place of their 8%.</w:t>
            </w:r>
          </w:p>
        </w:tc>
        <w:tc>
          <w:tcPr>
            <w:tcW w:type="dxa" w:w="3362"/>
            <w:shd w:fill="F4EFE6" w:val="clear"/>
          </w:tcPr>
          <w:p>
            <w:pPr>
              <w:spacing w:after="40" w:before="40"/>
            </w:pPr>
            <w:r/>
            <w:r>
              <w:rPr>
                <w:rFonts w:ascii="Calibri" w:hAnsi="Calibri" w:eastAsia="Calibri"/>
                <w:b w:val="0"/>
                <w:i w:val="0"/>
                <w:color w:val="1A1A1A"/>
                <w:sz w:val="20"/>
              </w:rPr>
              <w:t>A solicitor note naming a different rate, or JDH’s 4%/2%, would re-run B and E only.</w:t>
            </w:r>
          </w:p>
        </w:tc>
      </w:tr>
      <w:tr>
        <w:tc>
          <w:tcPr>
            <w:tcW w:type="dxa" w:w="3362"/>
          </w:tcPr>
          <w:p>
            <w:pPr>
              <w:spacing w:after="40" w:before="40"/>
            </w:pPr>
            <w:r/>
            <w:r>
              <w:rPr>
                <w:rFonts w:ascii="Calibri" w:hAnsi="Calibri" w:eastAsia="Calibri"/>
                <w:b w:val="0"/>
                <w:i w:val="0"/>
                <w:color w:val="1A1A1A"/>
                <w:sz w:val="20"/>
              </w:rPr>
              <w:t>Period = 6.00 years</w:t>
            </w:r>
          </w:p>
        </w:tc>
        <w:tc>
          <w:tcPr>
            <w:tcW w:type="dxa" w:w="3362"/>
          </w:tcPr>
          <w:p>
            <w:pPr>
              <w:spacing w:after="40" w:before="40"/>
            </w:pPr>
            <w:r/>
            <w:r>
              <w:rPr>
                <w:rFonts w:ascii="Calibri" w:hAnsi="Calibri" w:eastAsia="Calibri"/>
                <w:b w:val="0"/>
                <w:i w:val="0"/>
                <w:color w:val="1A1A1A"/>
                <w:sz w:val="20"/>
              </w:rPr>
              <w:t>Needed to print pound interest. Mid-point of 25 July 2018 – 24 July 2022, to 21 July 2026.</w:t>
            </w:r>
          </w:p>
        </w:tc>
        <w:tc>
          <w:tcPr>
            <w:tcW w:type="dxa" w:w="3362"/>
          </w:tcPr>
          <w:p>
            <w:pPr>
              <w:spacing w:after="40" w:before="40"/>
            </w:pPr>
            <w:r/>
            <w:r>
              <w:rPr>
                <w:rFonts w:ascii="Calibri" w:hAnsi="Calibri" w:eastAsia="Calibri"/>
                <w:b w:val="0"/>
                <w:i w:val="0"/>
                <w:color w:val="1A1A1A"/>
                <w:sz w:val="20"/>
              </w:rPr>
              <w:t>Invoice dates in a Data Bridge replace this with a bill-by-bill clock. The rate can stay 6%.</w:t>
            </w:r>
          </w:p>
        </w:tc>
      </w:tr>
      <w:tr>
        <w:tc>
          <w:tcPr>
            <w:tcW w:type="dxa" w:w="3362"/>
            <w:shd w:fill="F4EFE6" w:val="clear"/>
          </w:tcPr>
          <w:p>
            <w:pPr>
              <w:spacing w:after="40" w:before="40"/>
            </w:pPr>
            <w:r/>
            <w:r>
              <w:rPr>
                <w:rFonts w:ascii="Calibri" w:hAnsi="Calibri" w:eastAsia="Calibri"/>
                <w:b w:val="0"/>
                <w:i w:val="0"/>
                <w:color w:val="1A1A1A"/>
                <w:sz w:val="20"/>
              </w:rPr>
              <w:t>A is complete enough to use</w:t>
            </w:r>
          </w:p>
        </w:tc>
        <w:tc>
          <w:tcPr>
            <w:tcW w:type="dxa" w:w="3362"/>
            <w:shd w:fill="F4EFE6" w:val="clear"/>
          </w:tcPr>
          <w:p>
            <w:pPr>
              <w:spacing w:after="40" w:before="40"/>
            </w:pPr>
            <w:r/>
            <w:r>
              <w:rPr>
                <w:rFonts w:ascii="Calibri" w:hAnsi="Calibri" w:eastAsia="Calibri"/>
                <w:b w:val="0"/>
                <w:i w:val="0"/>
                <w:color w:val="1A1A1A"/>
                <w:sz w:val="20"/>
              </w:rPr>
              <w:t>JDH derived it from four or five bills per contract, then extrapolated. The opinion records that.</w:t>
            </w:r>
          </w:p>
        </w:tc>
        <w:tc>
          <w:tcPr>
            <w:tcW w:type="dxa" w:w="3362"/>
            <w:shd w:fill="F4EFE6" w:val="clear"/>
          </w:tcPr>
          <w:p>
            <w:pPr>
              <w:spacing w:after="40" w:before="40"/>
            </w:pPr>
            <w:r/>
            <w:r>
              <w:rPr>
                <w:rFonts w:ascii="Calibri" w:hAnsi="Calibri" w:eastAsia="Calibri"/>
                <w:b w:val="0"/>
                <w:i w:val="0"/>
                <w:color w:val="1A1A1A"/>
                <w:sz w:val="20"/>
              </w:rPr>
              <w:t>The full invoice set replaces A. Capital and interest both move.</w:t>
            </w:r>
          </w:p>
        </w:tc>
      </w:tr>
      <w:tr>
        <w:tc>
          <w:tcPr>
            <w:tcW w:type="dxa" w:w="3362"/>
          </w:tcPr>
          <w:p>
            <w:pPr>
              <w:spacing w:after="40" w:before="40"/>
            </w:pPr>
            <w:r/>
            <w:r>
              <w:rPr>
                <w:rFonts w:ascii="Calibri" w:hAnsi="Calibri" w:eastAsia="Calibri"/>
                <w:b w:val="0"/>
                <w:i w:val="0"/>
                <w:color w:val="1A1A1A"/>
                <w:sz w:val="20"/>
              </w:rPr>
              <w:t>C is OFGEM average wholesale</w:t>
            </w:r>
          </w:p>
        </w:tc>
        <w:tc>
          <w:tcPr>
            <w:tcW w:type="dxa" w:w="3362"/>
          </w:tcPr>
          <w:p>
            <w:pPr>
              <w:spacing w:after="40" w:before="40"/>
            </w:pPr>
            <w:r/>
            <w:r>
              <w:rPr>
                <w:rFonts w:ascii="Calibri" w:hAnsi="Calibri" w:eastAsia="Calibri"/>
                <w:b w:val="0"/>
                <w:i w:val="0"/>
                <w:color w:val="1A1A1A"/>
                <w:sz w:val="20"/>
              </w:rPr>
              <w:t>That is what the opinion says JDH used. It is not Pozitive’s hedge book.</w:t>
            </w:r>
          </w:p>
        </w:tc>
        <w:tc>
          <w:tcPr>
            <w:tcW w:type="dxa" w:w="3362"/>
          </w:tcPr>
          <w:p>
            <w:pPr>
              <w:spacing w:after="40" w:before="40"/>
            </w:pPr>
            <w:r/>
            <w:r>
              <w:rPr>
                <w:rFonts w:ascii="Calibri" w:hAnsi="Calibri" w:eastAsia="Calibri"/>
                <w:b w:val="0"/>
                <w:i w:val="0"/>
                <w:color w:val="1A1A1A"/>
                <w:sz w:val="20"/>
              </w:rPr>
              <w:t>Pozitive’s actual purchase cost replaces C, and D (40% of C) moves with it unless actual D is also disclosed.</w:t>
            </w:r>
          </w:p>
        </w:tc>
      </w:tr>
      <w:tr>
        <w:tc>
          <w:tcPr>
            <w:tcW w:type="dxa" w:w="3362"/>
            <w:shd w:fill="F4EFE6" w:val="clear"/>
          </w:tcPr>
          <w:p>
            <w:pPr>
              <w:spacing w:after="40" w:before="40"/>
            </w:pPr>
            <w:r/>
            <w:r>
              <w:rPr>
                <w:rFonts w:ascii="Calibri" w:hAnsi="Calibri" w:eastAsia="Calibri"/>
                <w:b w:val="0"/>
                <w:i w:val="0"/>
                <w:color w:val="1A1A1A"/>
                <w:sz w:val="20"/>
              </w:rPr>
              <w:t>Standing charges sit in A only</w:t>
            </w:r>
          </w:p>
        </w:tc>
        <w:tc>
          <w:tcPr>
            <w:tcW w:type="dxa" w:w="3362"/>
            <w:shd w:fill="F4EFE6" w:val="clear"/>
          </w:tcPr>
          <w:p>
            <w:pPr>
              <w:spacing w:after="40" w:before="40"/>
            </w:pPr>
            <w:r/>
            <w:r>
              <w:rPr>
                <w:rFonts w:ascii="Calibri" w:hAnsi="Calibri" w:eastAsia="Calibri"/>
                <w:b w:val="0"/>
                <w:i w:val="0"/>
                <w:color w:val="1A1A1A"/>
                <w:sz w:val="20"/>
              </w:rPr>
              <w:t>Mersenne refunded standing charges with the overpayment. JDH’s A is all monies paid, so they are already in A and are not added again.</w:t>
            </w:r>
          </w:p>
        </w:tc>
        <w:tc>
          <w:tcPr>
            <w:tcW w:type="dxa" w:w="3362"/>
            <w:shd w:fill="F4EFE6" w:val="clear"/>
          </w:tcPr>
          <w:p>
            <w:pPr>
              <w:spacing w:after="40" w:before="40"/>
            </w:pPr>
            <w:r/>
            <w:r>
              <w:rPr>
                <w:rFonts w:ascii="Calibri" w:hAnsi="Calibri" w:eastAsia="Calibri"/>
                <w:b w:val="0"/>
                <w:i w:val="0"/>
                <w:color w:val="1A1A1A"/>
                <w:sz w:val="20"/>
              </w:rPr>
              <w:t>If a later invoice split shows standing charges were omitted from A, A is increased.</w:t>
            </w:r>
          </w:p>
        </w:tc>
      </w:tr>
      <w:tr>
        <w:tc>
          <w:tcPr>
            <w:tcW w:type="dxa" w:w="3362"/>
          </w:tcPr>
          <w:p>
            <w:pPr>
              <w:spacing w:after="40" w:before="40"/>
            </w:pPr>
            <w:r/>
            <w:r>
              <w:rPr>
                <w:rFonts w:ascii="Calibri" w:hAnsi="Calibri" w:eastAsia="Calibri"/>
                <w:b w:val="0"/>
                <w:i w:val="0"/>
                <w:color w:val="1A1A1A"/>
                <w:sz w:val="20"/>
              </w:rPr>
              <w:t>Commission floor remains JDH’s estimate</w:t>
            </w:r>
          </w:p>
        </w:tc>
        <w:tc>
          <w:tcPr>
            <w:tcW w:type="dxa" w:w="3362"/>
          </w:tcPr>
          <w:p>
            <w:pPr>
              <w:spacing w:after="40" w:before="40"/>
            </w:pPr>
            <w:r/>
            <w:r>
              <w:rPr>
                <w:rFonts w:ascii="Calibri" w:hAnsi="Calibri" w:eastAsia="Calibri"/>
                <w:b w:val="0"/>
                <w:i w:val="0"/>
                <w:color w:val="1A1A1A"/>
                <w:sz w:val="20"/>
              </w:rPr>
              <w:t>Mersenne did not print a discrete commission. JDH did, as an estimate. This valuation copies it and does not invent another p/kWh.</w:t>
            </w:r>
          </w:p>
        </w:tc>
        <w:tc>
          <w:tcPr>
            <w:tcW w:type="dxa" w:w="3362"/>
          </w:tcPr>
          <w:p>
            <w:pPr>
              <w:spacing w:after="40" w:before="40"/>
            </w:pPr>
            <w:r/>
            <w:r>
              <w:rPr>
                <w:rFonts w:ascii="Calibri" w:hAnsi="Calibri" w:eastAsia="Calibri"/>
                <w:b w:val="0"/>
                <w:i w:val="0"/>
                <w:color w:val="1A1A1A"/>
                <w:sz w:val="20"/>
              </w:rPr>
              <w:t>A ledger replaces the estimate. Interest on that line would be whatever the solicitor then instructs.</w:t>
            </w:r>
          </w:p>
        </w:tc>
      </w:tr>
    </w:tbl>
    <w:p/>
    <w:p>
      <w:pPr>
        <w:pStyle w:val="Heading1"/>
      </w:pPr>
      <w:r>
        <w:rPr>
          <w:rFonts w:ascii="Calibri" w:hAnsi="Calibri"/>
          <w:color w:val="7A1F2B"/>
        </w:rPr>
        <w:t>9. Quantum summary</w:t>
      </w:r>
    </w:p>
    <w:tbl>
      <w:tblPr>
        <w:tblStyle w:val="TableGrid"/>
        <w:tblW w:type="auto" w:w="0"/>
        <w:tblLook w:firstColumn="1" w:firstRow="1" w:lastColumn="0" w:lastRow="0" w:noHBand="0" w:noVBand="1" w:val="04A0"/>
      </w:tblPr>
      <w:tblGrid>
        <w:gridCol w:w="3362"/>
        <w:gridCol w:w="3362"/>
        <w:gridCol w:w="3362"/>
      </w:tblGrid>
      <w:tr>
        <w:tc>
          <w:tcPr>
            <w:tcW w:type="dxa" w:w="3362"/>
            <w:shd w:fill="7A1F2B" w:val="clear"/>
          </w:tcPr>
          <w:p>
            <w:pPr>
              <w:spacing w:after="40" w:before="40"/>
            </w:pPr>
            <w:r/>
            <w:r>
              <w:rPr>
                <w:rFonts w:ascii="Calibri" w:hAnsi="Calibri" w:eastAsia="Calibri"/>
                <w:b/>
                <w:i w:val="0"/>
                <w:color w:val="FFFFFF"/>
                <w:sz w:val="20"/>
              </w:rPr>
              <w:t>Measure</w:t>
            </w:r>
          </w:p>
        </w:tc>
        <w:tc>
          <w:tcPr>
            <w:tcW w:type="dxa" w:w="3362"/>
            <w:shd w:fill="7A1F2B" w:val="clear"/>
          </w:tcPr>
          <w:p>
            <w:pPr>
              <w:spacing w:after="40" w:before="40"/>
            </w:pPr>
            <w:r/>
            <w:r>
              <w:rPr>
                <w:rFonts w:ascii="Calibri" w:hAnsi="Calibri" w:eastAsia="Calibri"/>
                <w:b/>
                <w:i w:val="0"/>
                <w:color w:val="FFFFFF"/>
                <w:sz w:val="20"/>
              </w:rPr>
              <w:t>Figure</w:t>
            </w:r>
          </w:p>
        </w:tc>
        <w:tc>
          <w:tcPr>
            <w:tcW w:type="dxa" w:w="3362"/>
            <w:shd w:fill="7A1F2B" w:val="clear"/>
          </w:tcPr>
          <w:p>
            <w:pPr>
              <w:spacing w:after="40" w:before="40"/>
            </w:pPr>
            <w:r/>
            <w:r>
              <w:rPr>
                <w:rFonts w:ascii="Calibri" w:hAnsi="Calibri" w:eastAsia="Calibri"/>
                <w:b/>
                <w:i w:val="0"/>
                <w:color w:val="FFFFFF"/>
                <w:sz w:val="20"/>
              </w:rPr>
              <w:t>Status</w:t>
            </w:r>
          </w:p>
        </w:tc>
      </w:tr>
      <w:tr>
        <w:tc>
          <w:tcPr>
            <w:tcW w:type="dxa" w:w="3362"/>
          </w:tcPr>
          <w:p>
            <w:pPr>
              <w:spacing w:after="40" w:before="40"/>
            </w:pPr>
            <w:r/>
            <w:r>
              <w:rPr>
                <w:rFonts w:ascii="Calibri" w:hAnsi="Calibri" w:eastAsia="Calibri"/>
                <w:b w:val="0"/>
                <w:i w:val="0"/>
                <w:color w:val="1A1A1A"/>
                <w:sz w:val="20"/>
              </w:rPr>
              <w:t>Working Wood net to 21 July 2026</w:t>
            </w:r>
          </w:p>
        </w:tc>
        <w:tc>
          <w:tcPr>
            <w:tcW w:type="dxa" w:w="3362"/>
          </w:tcPr>
          <w:p>
            <w:pPr>
              <w:spacing w:after="40" w:before="40"/>
            </w:pPr>
            <w:r/>
            <w:r>
              <w:rPr>
                <w:rFonts w:ascii="Calibri" w:hAnsi="Calibri" w:eastAsia="Calibri"/>
                <w:b w:val="0"/>
                <w:i w:val="0"/>
                <w:color w:val="1A1A1A"/>
                <w:sz w:val="20"/>
              </w:rPr>
              <w:t>£24,989.01</w:t>
            </w:r>
          </w:p>
        </w:tc>
        <w:tc>
          <w:tcPr>
            <w:tcW w:type="dxa" w:w="3362"/>
          </w:tcPr>
          <w:p>
            <w:pPr>
              <w:spacing w:after="40" w:before="40"/>
            </w:pPr>
            <w:r/>
            <w:r>
              <w:rPr>
                <w:rFonts w:ascii="Calibri" w:hAnsi="Calibri" w:eastAsia="Calibri"/>
                <w:b w:val="0"/>
                <w:i w:val="0"/>
                <w:color w:val="1A1A1A"/>
                <w:sz w:val="20"/>
              </w:rPr>
              <w:t>This valuation — JDH A and C, 40% D, 6% for 6.00 years</w:t>
            </w:r>
          </w:p>
        </w:tc>
      </w:tr>
      <w:tr>
        <w:tc>
          <w:tcPr>
            <w:tcW w:type="dxa" w:w="3362"/>
            <w:shd w:fill="F4EFE6" w:val="clear"/>
          </w:tcPr>
          <w:p>
            <w:pPr>
              <w:spacing w:after="40" w:before="40"/>
            </w:pPr>
            <w:r/>
            <w:r>
              <w:rPr>
                <w:rFonts w:ascii="Calibri" w:hAnsi="Calibri" w:eastAsia="Calibri"/>
                <w:b w:val="0"/>
                <w:i w:val="0"/>
                <w:color w:val="1A1A1A"/>
                <w:sz w:val="20"/>
              </w:rPr>
              <w:t>Capital Wood, before interest</w:t>
            </w:r>
          </w:p>
        </w:tc>
        <w:tc>
          <w:tcPr>
            <w:tcW w:type="dxa" w:w="3362"/>
            <w:shd w:fill="F4EFE6" w:val="clear"/>
          </w:tcPr>
          <w:p>
            <w:pPr>
              <w:spacing w:after="40" w:before="40"/>
            </w:pPr>
            <w:r/>
            <w:r>
              <w:rPr>
                <w:rFonts w:ascii="Calibri" w:hAnsi="Calibri" w:eastAsia="Calibri"/>
                <w:b w:val="0"/>
                <w:i w:val="0"/>
                <w:color w:val="1A1A1A"/>
                <w:sz w:val="20"/>
              </w:rPr>
              <w:t>£18,374.27</w:t>
            </w:r>
          </w:p>
        </w:tc>
        <w:tc>
          <w:tcPr>
            <w:tcW w:type="dxa" w:w="3362"/>
            <w:shd w:fill="F4EFE6" w:val="clear"/>
          </w:tcPr>
          <w:p>
            <w:pPr>
              <w:spacing w:after="40" w:before="40"/>
            </w:pPr>
            <w:r/>
            <w:r>
              <w:rPr>
                <w:rFonts w:ascii="Calibri" w:hAnsi="Calibri" w:eastAsia="Calibri"/>
                <w:b w:val="0"/>
                <w:i w:val="0"/>
                <w:color w:val="1A1A1A"/>
                <w:sz w:val="20"/>
              </w:rPr>
              <w:t>A − (C + D)</w:t>
            </w:r>
          </w:p>
        </w:tc>
      </w:tr>
      <w:tr>
        <w:tc>
          <w:tcPr>
            <w:tcW w:type="dxa" w:w="3362"/>
          </w:tcPr>
          <w:p>
            <w:pPr>
              <w:spacing w:after="40" w:before="40"/>
            </w:pPr>
            <w:r/>
            <w:r>
              <w:rPr>
                <w:rFonts w:ascii="Calibri" w:hAnsi="Calibri" w:eastAsia="Calibri"/>
                <w:b w:val="0"/>
                <w:i w:val="0"/>
                <w:color w:val="1A1A1A"/>
                <w:sz w:val="20"/>
              </w:rPr>
              <w:t>JDH printed Wood-style net</w:t>
            </w:r>
          </w:p>
        </w:tc>
        <w:tc>
          <w:tcPr>
            <w:tcW w:type="dxa" w:w="3362"/>
          </w:tcPr>
          <w:p>
            <w:pPr>
              <w:spacing w:after="40" w:before="40"/>
            </w:pPr>
            <w:r/>
            <w:r>
              <w:rPr>
                <w:rFonts w:ascii="Calibri" w:hAnsi="Calibri" w:eastAsia="Calibri"/>
                <w:b w:val="0"/>
                <w:i w:val="0"/>
                <w:color w:val="1A1A1A"/>
                <w:sz w:val="20"/>
              </w:rPr>
              <w:t>£29,685.72</w:t>
            </w:r>
          </w:p>
        </w:tc>
        <w:tc>
          <w:tcPr>
            <w:tcW w:type="dxa" w:w="3362"/>
          </w:tcPr>
          <w:p>
            <w:pPr>
              <w:spacing w:after="40" w:before="40"/>
            </w:pPr>
            <w:r/>
            <w:r>
              <w:rPr>
                <w:rFonts w:ascii="Calibri" w:hAnsi="Calibri" w:eastAsia="Calibri"/>
                <w:b w:val="0"/>
                <w:i w:val="0"/>
                <w:color w:val="1A1A1A"/>
                <w:sz w:val="20"/>
              </w:rPr>
              <w:t>Cross-check only — 4%/2%, no 40%</w:t>
            </w:r>
          </w:p>
        </w:tc>
      </w:tr>
      <w:tr>
        <w:tc>
          <w:tcPr>
            <w:tcW w:type="dxa" w:w="3362"/>
            <w:shd w:fill="F4EFE6" w:val="clear"/>
          </w:tcPr>
          <w:p>
            <w:pPr>
              <w:spacing w:after="40" w:before="40"/>
            </w:pPr>
            <w:r/>
            <w:r>
              <w:rPr>
                <w:rFonts w:ascii="Calibri" w:hAnsi="Calibri" w:eastAsia="Calibri"/>
                <w:b w:val="0"/>
                <w:i w:val="0"/>
                <w:color w:val="1A1A1A"/>
                <w:sz w:val="20"/>
              </w:rPr>
              <w:t>JDH commission estimate with their 2%</w:t>
            </w:r>
          </w:p>
        </w:tc>
        <w:tc>
          <w:tcPr>
            <w:tcW w:type="dxa" w:w="3362"/>
            <w:shd w:fill="F4EFE6" w:val="clear"/>
          </w:tcPr>
          <w:p>
            <w:pPr>
              <w:spacing w:after="40" w:before="40"/>
            </w:pPr>
            <w:r/>
            <w:r>
              <w:rPr>
                <w:rFonts w:ascii="Calibri" w:hAnsi="Calibri" w:eastAsia="Calibri"/>
                <w:b w:val="0"/>
                <w:i w:val="0"/>
                <w:color w:val="1A1A1A"/>
                <w:sz w:val="20"/>
              </w:rPr>
              <w:t>£6,880.29</w:t>
            </w:r>
          </w:p>
        </w:tc>
        <w:tc>
          <w:tcPr>
            <w:tcW w:type="dxa" w:w="3362"/>
            <w:shd w:fill="F4EFE6" w:val="clear"/>
          </w:tcPr>
          <w:p>
            <w:pPr>
              <w:spacing w:after="40" w:before="40"/>
            </w:pPr>
            <w:r/>
            <w:r>
              <w:rPr>
                <w:rFonts w:ascii="Calibri" w:hAnsi="Calibri" w:eastAsia="Calibri"/>
                <w:b w:val="0"/>
                <w:i w:val="0"/>
                <w:color w:val="1A1A1A"/>
                <w:sz w:val="20"/>
              </w:rPr>
              <w:t>Copied estimate — not a ledger</w:t>
            </w:r>
          </w:p>
        </w:tc>
      </w:tr>
    </w:tbl>
    <w:p/>
    <w:p>
      <w:pPr>
        <w:pStyle w:val="Heading1"/>
      </w:pPr>
      <w:r>
        <w:rPr>
          <w:rFonts w:ascii="Calibri" w:hAnsi="Calibri"/>
          <w:color w:val="7A1F2B"/>
        </w:rPr>
        <w:t>10. Document schedule</w:t>
      </w:r>
    </w:p>
    <w:tbl>
      <w:tblPr>
        <w:tblStyle w:val="TableGrid"/>
        <w:tblW w:type="auto" w:w="0"/>
        <w:tblLook w:firstColumn="1" w:firstRow="1" w:lastColumn="0" w:lastRow="0" w:noHBand="0" w:noVBand="1" w:val="04A0"/>
      </w:tblPr>
      <w:tblGrid>
        <w:gridCol w:w="3362"/>
        <w:gridCol w:w="3362"/>
        <w:gridCol w:w="3362"/>
      </w:tblGrid>
      <w:tr>
        <w:tc>
          <w:tcPr>
            <w:tcW w:type="dxa" w:w="3362"/>
            <w:shd w:fill="7A1F2B" w:val="clear"/>
          </w:tcPr>
          <w:p>
            <w:pPr>
              <w:spacing w:after="40" w:before="40"/>
            </w:pPr>
            <w:r/>
            <w:r>
              <w:rPr>
                <w:rFonts w:ascii="Calibri" w:hAnsi="Calibri" w:eastAsia="Calibri"/>
                <w:b/>
                <w:i w:val="0"/>
                <w:color w:val="FFFFFF"/>
                <w:sz w:val="20"/>
              </w:rPr>
              <w:t>Document</w:t>
            </w:r>
          </w:p>
        </w:tc>
        <w:tc>
          <w:tcPr>
            <w:tcW w:type="dxa" w:w="3362"/>
            <w:shd w:fill="7A1F2B" w:val="clear"/>
          </w:tcPr>
          <w:p>
            <w:pPr>
              <w:spacing w:after="40" w:before="40"/>
            </w:pPr>
            <w:r/>
            <w:r>
              <w:rPr>
                <w:rFonts w:ascii="Calibri" w:hAnsi="Calibri" w:eastAsia="Calibri"/>
                <w:b/>
                <w:i w:val="0"/>
                <w:color w:val="FFFFFF"/>
                <w:sz w:val="20"/>
              </w:rPr>
              <w:t>Used for</w:t>
            </w:r>
          </w:p>
        </w:tc>
        <w:tc>
          <w:tcPr>
            <w:tcW w:type="dxa" w:w="3362"/>
            <w:shd w:fill="7A1F2B" w:val="clear"/>
          </w:tcPr>
          <w:p>
            <w:pPr>
              <w:spacing w:after="40" w:before="40"/>
            </w:pPr>
            <w:r/>
            <w:r>
              <w:rPr>
                <w:rFonts w:ascii="Calibri" w:hAnsi="Calibri" w:eastAsia="Calibri"/>
                <w:b/>
                <w:i w:val="0"/>
                <w:color w:val="FFFFFF"/>
                <w:sz w:val="20"/>
              </w:rPr>
              <w:t>Not used for</w:t>
            </w:r>
          </w:p>
        </w:tc>
      </w:tr>
      <w:tr>
        <w:tc>
          <w:tcPr>
            <w:tcW w:type="dxa" w:w="3362"/>
          </w:tcPr>
          <w:p>
            <w:pPr>
              <w:spacing w:after="40" w:before="40"/>
            </w:pPr>
            <w:r/>
            <w:r>
              <w:rPr>
                <w:rFonts w:ascii="Calibri" w:hAnsi="Calibri" w:eastAsia="Calibri"/>
                <w:b w:val="0"/>
                <w:i w:val="0"/>
                <w:color w:val="1A1A1A"/>
                <w:sz w:val="20"/>
              </w:rPr>
              <w:t>Opinion, 27 July 2026, Carlin How / Pozitive</w:t>
            </w:r>
          </w:p>
        </w:tc>
        <w:tc>
          <w:tcPr>
            <w:tcW w:type="dxa" w:w="3362"/>
          </w:tcPr>
          <w:p>
            <w:pPr>
              <w:spacing w:after="40" w:before="40"/>
            </w:pPr>
            <w:r/>
            <w:r>
              <w:rPr>
                <w:rFonts w:ascii="Calibri" w:hAnsi="Calibri" w:eastAsia="Calibri"/>
                <w:b w:val="0"/>
                <w:i w:val="0"/>
                <w:color w:val="1A1A1A"/>
                <w:sz w:val="20"/>
              </w:rPr>
              <w:t>Parties, four contracts, rates, MPAN, LOA and checklist wording as quoted, JDH totals as cited, the description of JDH’s method.</w:t>
            </w:r>
          </w:p>
        </w:tc>
        <w:tc>
          <w:tcPr>
            <w:tcW w:type="dxa" w:w="3362"/>
          </w:tcPr>
          <w:p>
            <w:pPr>
              <w:spacing w:after="40" w:before="40"/>
            </w:pPr>
            <w:r/>
            <w:r>
              <w:rPr>
                <w:rFonts w:ascii="Calibri" w:hAnsi="Calibri" w:eastAsia="Calibri"/>
                <w:b w:val="0"/>
                <w:i w:val="0"/>
                <w:color w:val="1A1A1A"/>
                <w:sz w:val="20"/>
              </w:rPr>
              <w:t>Not used as Crimson Horse legal advice. Prospects figures in that opinion are not copied into section 9.</w:t>
            </w:r>
          </w:p>
        </w:tc>
      </w:tr>
      <w:tr>
        <w:tc>
          <w:tcPr>
            <w:tcW w:type="dxa" w:w="3362"/>
            <w:shd w:fill="F4EFE6" w:val="clear"/>
          </w:tcPr>
          <w:p>
            <w:pPr>
              <w:spacing w:after="40" w:before="40"/>
            </w:pPr>
            <w:r/>
            <w:r>
              <w:rPr>
                <w:rFonts w:ascii="Calibri" w:hAnsi="Calibri" w:eastAsia="Calibri"/>
                <w:b w:val="0"/>
                <w:i w:val="0"/>
                <w:color w:val="1A1A1A"/>
                <w:sz w:val="20"/>
              </w:rPr>
              <w:t>JDH-26-0010 as described in that opinion (workbook not attached)</w:t>
            </w:r>
          </w:p>
        </w:tc>
        <w:tc>
          <w:tcPr>
            <w:tcW w:type="dxa" w:w="3362"/>
            <w:shd w:fill="F4EFE6" w:val="clear"/>
          </w:tcPr>
          <w:p>
            <w:pPr>
              <w:spacing w:after="40" w:before="40"/>
            </w:pPr>
            <w:r/>
            <w:r>
              <w:rPr>
                <w:rFonts w:ascii="Calibri" w:hAnsi="Calibri" w:eastAsia="Calibri"/>
                <w:b w:val="0"/>
                <w:i w:val="0"/>
                <w:color w:val="1A1A1A"/>
                <w:sz w:val="20"/>
              </w:rPr>
              <w:t>A, C, kWh, £29,685.72, £6,113.81, £6,880.29, calculation date 21 July 2026.</w:t>
            </w:r>
          </w:p>
        </w:tc>
        <w:tc>
          <w:tcPr>
            <w:tcW w:type="dxa" w:w="3362"/>
            <w:shd w:fill="F4EFE6" w:val="clear"/>
          </w:tcPr>
          <w:p>
            <w:pPr>
              <w:spacing w:after="40" w:before="40"/>
            </w:pPr>
            <w:r/>
            <w:r>
              <w:rPr>
                <w:rFonts w:ascii="Calibri" w:hAnsi="Calibri" w:eastAsia="Calibri"/>
                <w:b w:val="0"/>
                <w:i w:val="0"/>
                <w:color w:val="1A1A1A"/>
                <w:sz w:val="20"/>
              </w:rPr>
              <w:t>Arithmetic not re-opened bill by bill. 4% and 2% not used in the working net.</w:t>
            </w:r>
          </w:p>
        </w:tc>
      </w:tr>
      <w:tr>
        <w:tc>
          <w:tcPr>
            <w:tcW w:type="dxa" w:w="3362"/>
          </w:tcPr>
          <w:p>
            <w:pPr>
              <w:spacing w:after="40" w:before="40"/>
            </w:pPr>
            <w:r/>
            <w:r>
              <w:rPr>
                <w:rFonts w:ascii="Calibri" w:hAnsi="Calibri" w:eastAsia="Calibri"/>
                <w:b w:val="0"/>
                <w:i w:val="0"/>
                <w:color w:val="1A1A1A"/>
                <w:sz w:val="20"/>
              </w:rPr>
              <w:t>Mersenne method (as previously instructed on the Centurion fill)</w:t>
            </w:r>
          </w:p>
        </w:tc>
        <w:tc>
          <w:tcPr>
            <w:tcW w:type="dxa" w:w="3362"/>
          </w:tcPr>
          <w:p>
            <w:pPr>
              <w:spacing w:after="40" w:before="40"/>
            </w:pPr>
            <w:r/>
            <w:r>
              <w:rPr>
                <w:rFonts w:ascii="Calibri" w:hAnsi="Calibri" w:eastAsia="Calibri"/>
                <w:b w:val="0"/>
                <w:i w:val="0"/>
                <w:color w:val="1A1A1A"/>
                <w:sz w:val="20"/>
              </w:rPr>
              <w:t>40% of wholesale as D; one interest rate both sides.</w:t>
            </w:r>
          </w:p>
        </w:tc>
        <w:tc>
          <w:tcPr>
            <w:tcW w:type="dxa" w:w="3362"/>
          </w:tcPr>
          <w:p>
            <w:pPr>
              <w:spacing w:after="40" w:before="40"/>
            </w:pPr>
            <w:r/>
            <w:r>
              <w:rPr>
                <w:rFonts w:ascii="Calibri" w:hAnsi="Calibri" w:eastAsia="Calibri"/>
                <w:b w:val="0"/>
                <w:i w:val="0"/>
                <w:color w:val="1A1A1A"/>
                <w:sz w:val="20"/>
              </w:rPr>
              <w:t>Centurion’s £82,419.25 is not used. Wrong case.</w:t>
            </w:r>
          </w:p>
        </w:tc>
      </w:tr>
      <w:tr>
        <w:tc>
          <w:tcPr>
            <w:tcW w:type="dxa" w:w="3362"/>
            <w:shd w:fill="F4EFE6" w:val="clear"/>
          </w:tcPr>
          <w:p>
            <w:pPr>
              <w:spacing w:after="40" w:before="40"/>
            </w:pPr>
            <w:r/>
            <w:r>
              <w:rPr>
                <w:rFonts w:ascii="Calibri" w:hAnsi="Calibri" w:eastAsia="Calibri"/>
                <w:b w:val="0"/>
                <w:i w:val="0"/>
                <w:color w:val="1A1A1A"/>
                <w:sz w:val="20"/>
              </w:rPr>
              <w:t>Your instructions on this valuation</w:t>
            </w:r>
          </w:p>
        </w:tc>
        <w:tc>
          <w:tcPr>
            <w:tcW w:type="dxa" w:w="3362"/>
            <w:shd w:fill="F4EFE6" w:val="clear"/>
          </w:tcPr>
          <w:p>
            <w:pPr>
              <w:spacing w:after="40" w:before="40"/>
            </w:pPr>
            <w:r/>
            <w:r>
              <w:rPr>
                <w:rFonts w:ascii="Calibri" w:hAnsi="Calibri" w:eastAsia="Calibri"/>
                <w:b w:val="0"/>
                <w:i w:val="0"/>
                <w:color w:val="1A1A1A"/>
                <w:sz w:val="20"/>
              </w:rPr>
              <w:t>Keep 40%. Interest 8% → 6%. Base the report on the Carlin How opinion.</w:t>
            </w:r>
          </w:p>
        </w:tc>
        <w:tc>
          <w:tcPr>
            <w:tcW w:type="dxa" w:w="3362"/>
            <w:shd w:fill="F4EFE6" w:val="clear"/>
          </w:tcPr>
          <w:p>
            <w:pPr>
              <w:spacing w:after="40" w:before="40"/>
            </w:pPr>
            <w:r/>
            <w:r>
              <w:rPr>
                <w:rFonts w:ascii="Calibri" w:hAnsi="Calibri" w:eastAsia="Calibri"/>
                <w:b w:val="0"/>
                <w:i w:val="0"/>
                <w:color w:val="1A1A1A"/>
                <w:sz w:val="20"/>
              </w:rPr>
              <w:t>—</w:t>
            </w:r>
          </w:p>
        </w:tc>
      </w:tr>
      <w:tr>
        <w:tc>
          <w:tcPr>
            <w:tcW w:type="dxa" w:w="3362"/>
          </w:tcPr>
          <w:p>
            <w:pPr>
              <w:spacing w:after="40" w:before="40"/>
            </w:pPr>
            <w:r/>
            <w:r>
              <w:rPr>
                <w:rFonts w:ascii="Calibri" w:hAnsi="Calibri" w:eastAsia="Calibri"/>
                <w:b w:val="0"/>
                <w:i w:val="0"/>
                <w:color w:val="1A1A1A"/>
                <w:sz w:val="20"/>
              </w:rPr>
              <w:t>Clark v Blemain mortgage report</w:t>
            </w:r>
          </w:p>
        </w:tc>
        <w:tc>
          <w:tcPr>
            <w:tcW w:type="dxa" w:w="3362"/>
          </w:tcPr>
          <w:p>
            <w:pPr>
              <w:spacing w:after="40" w:before="40"/>
            </w:pPr>
            <w:r/>
            <w:r>
              <w:rPr>
                <w:rFonts w:ascii="Calibri" w:hAnsi="Calibri" w:eastAsia="Calibri"/>
                <w:b w:val="0"/>
                <w:i w:val="0"/>
                <w:color w:val="1A1A1A"/>
                <w:sz w:val="20"/>
              </w:rPr>
              <w:t>Not used.</w:t>
            </w:r>
          </w:p>
        </w:tc>
        <w:tc>
          <w:tcPr>
            <w:tcW w:type="dxa" w:w="3362"/>
          </w:tcPr>
          <w:p>
            <w:pPr>
              <w:spacing w:after="40" w:before="40"/>
            </w:pPr>
            <w:r/>
            <w:r>
              <w:rPr>
                <w:rFonts w:ascii="Calibri" w:hAnsi="Calibri" w:eastAsia="Calibri"/>
                <w:b w:val="0"/>
                <w:i w:val="0"/>
                <w:color w:val="1A1A1A"/>
                <w:sz w:val="20"/>
              </w:rPr>
              <w:t>Wrong stream.</w:t>
            </w:r>
          </w:p>
        </w:tc>
      </w:tr>
      <w:tr>
        <w:tc>
          <w:tcPr>
            <w:tcW w:type="dxa" w:w="3362"/>
            <w:shd w:fill="F4EFE6" w:val="clear"/>
          </w:tcPr>
          <w:p>
            <w:pPr>
              <w:spacing w:after="40" w:before="40"/>
            </w:pPr>
            <w:r/>
            <w:r>
              <w:rPr>
                <w:rFonts w:ascii="Calibri" w:hAnsi="Calibri" w:eastAsia="Calibri"/>
                <w:b w:val="0"/>
                <w:i w:val="0"/>
                <w:color w:val="1A1A1A"/>
                <w:sz w:val="20"/>
              </w:rPr>
              <w:t>The four contracts, LOAs, checklists, bills, Pozitive ledger</w:t>
            </w:r>
          </w:p>
        </w:tc>
        <w:tc>
          <w:tcPr>
            <w:tcW w:type="dxa" w:w="3362"/>
            <w:shd w:fill="F4EFE6" w:val="clear"/>
          </w:tcPr>
          <w:p>
            <w:pPr>
              <w:spacing w:after="40" w:before="40"/>
            </w:pPr>
            <w:r/>
            <w:r>
              <w:rPr>
                <w:rFonts w:ascii="Calibri" w:hAnsi="Calibri" w:eastAsia="Calibri"/>
                <w:b w:val="0"/>
                <w:i w:val="0"/>
                <w:color w:val="1A1A1A"/>
                <w:sz w:val="20"/>
              </w:rPr>
              <w:t>Described where the opinion describes them.</w:t>
            </w:r>
          </w:p>
        </w:tc>
        <w:tc>
          <w:tcPr>
            <w:tcW w:type="dxa" w:w="3362"/>
            <w:shd w:fill="F4EFE6" w:val="clear"/>
          </w:tcPr>
          <w:p>
            <w:pPr>
              <w:spacing w:after="40" w:before="40"/>
            </w:pPr>
            <w:r/>
            <w:r>
              <w:rPr>
                <w:rFonts w:ascii="Calibri" w:hAnsi="Calibri" w:eastAsia="Calibri"/>
                <w:b w:val="0"/>
                <w:i w:val="0"/>
                <w:color w:val="1A1A1A"/>
                <w:sz w:val="20"/>
              </w:rPr>
              <w:t>Not attached to this pack, so not re-totalled from the pages.</w:t>
            </w:r>
          </w:p>
        </w:tc>
      </w:tr>
    </w:tbl>
    <w:p/>
    <w:p>
      <w:pPr>
        <w:pStyle w:val="Heading1"/>
      </w:pPr>
      <w:r>
        <w:rPr>
          <w:rFonts w:ascii="Calibri" w:hAnsi="Calibri"/>
          <w:color w:val="7A1F2B"/>
        </w:rPr>
        <w:t>11. Blanks and required action</w:t>
      </w:r>
    </w:p>
    <w:tbl>
      <w:tblPr>
        <w:tblStyle w:val="TableGrid"/>
        <w:tblW w:type="auto" w:w="0"/>
        <w:tblLook w:firstColumn="1" w:firstRow="1" w:lastColumn="0" w:lastRow="0" w:noHBand="0" w:noVBand="1" w:val="04A0"/>
      </w:tblPr>
      <w:tblGrid>
        <w:gridCol w:w="3362"/>
        <w:gridCol w:w="3362"/>
        <w:gridCol w:w="3362"/>
      </w:tblGrid>
      <w:tr>
        <w:tc>
          <w:tcPr>
            <w:tcW w:type="dxa" w:w="3362"/>
            <w:shd w:fill="7A1F2B" w:val="clear"/>
          </w:tcPr>
          <w:p>
            <w:pPr>
              <w:spacing w:after="40" w:before="40"/>
            </w:pPr>
            <w:r/>
            <w:r>
              <w:rPr>
                <w:rFonts w:ascii="Calibri" w:hAnsi="Calibri" w:eastAsia="Calibri"/>
                <w:b/>
                <w:i w:val="0"/>
                <w:color w:val="FFFFFF"/>
                <w:sz w:val="20"/>
              </w:rPr>
              <w:t>Blank or weakness</w:t>
            </w:r>
          </w:p>
        </w:tc>
        <w:tc>
          <w:tcPr>
            <w:tcW w:type="dxa" w:w="3362"/>
            <w:shd w:fill="7A1F2B" w:val="clear"/>
          </w:tcPr>
          <w:p>
            <w:pPr>
              <w:spacing w:after="40" w:before="40"/>
            </w:pPr>
            <w:r/>
            <w:r>
              <w:rPr>
                <w:rFonts w:ascii="Calibri" w:hAnsi="Calibri" w:eastAsia="Calibri"/>
                <w:b/>
                <w:i w:val="0"/>
                <w:color w:val="FFFFFF"/>
                <w:sz w:val="20"/>
              </w:rPr>
              <w:t>Why it matters</w:t>
            </w:r>
          </w:p>
        </w:tc>
        <w:tc>
          <w:tcPr>
            <w:tcW w:type="dxa" w:w="3362"/>
            <w:shd w:fill="7A1F2B" w:val="clear"/>
          </w:tcPr>
          <w:p>
            <w:pPr>
              <w:spacing w:after="40" w:before="40"/>
            </w:pPr>
            <w:r/>
            <w:r>
              <w:rPr>
                <w:rFonts w:ascii="Calibri" w:hAnsi="Calibri" w:eastAsia="Calibri"/>
                <w:b/>
                <w:i w:val="0"/>
                <w:color w:val="FFFFFF"/>
                <w:sz w:val="20"/>
              </w:rPr>
              <w:t>Action</w:t>
            </w:r>
          </w:p>
        </w:tc>
      </w:tr>
      <w:tr>
        <w:tc>
          <w:tcPr>
            <w:tcW w:type="dxa" w:w="3362"/>
          </w:tcPr>
          <w:p>
            <w:pPr>
              <w:spacing w:after="40" w:before="40"/>
            </w:pPr>
            <w:r/>
            <w:r>
              <w:rPr>
                <w:rFonts w:ascii="Calibri" w:hAnsi="Calibri" w:eastAsia="Calibri"/>
                <w:b w:val="0"/>
                <w:i w:val="0"/>
                <w:color w:val="1A1A1A"/>
                <w:sz w:val="20"/>
              </w:rPr>
              <w:t>Complete invoices</w:t>
            </w:r>
          </w:p>
        </w:tc>
        <w:tc>
          <w:tcPr>
            <w:tcW w:type="dxa" w:w="3362"/>
          </w:tcPr>
          <w:p>
            <w:pPr>
              <w:spacing w:after="40" w:before="40"/>
            </w:pPr>
            <w:r/>
            <w:r>
              <w:rPr>
                <w:rFonts w:ascii="Calibri" w:hAnsi="Calibri" w:eastAsia="Calibri"/>
                <w:b w:val="0"/>
                <w:i w:val="0"/>
                <w:color w:val="1A1A1A"/>
                <w:sz w:val="20"/>
              </w:rPr>
              <w:t>A is extrapolated from a sample.</w:t>
            </w:r>
          </w:p>
        </w:tc>
        <w:tc>
          <w:tcPr>
            <w:tcW w:type="dxa" w:w="3362"/>
          </w:tcPr>
          <w:p>
            <w:pPr>
              <w:spacing w:after="40" w:before="40"/>
            </w:pPr>
            <w:r/>
            <w:r>
              <w:rPr>
                <w:rFonts w:ascii="Calibri" w:hAnsi="Calibri" w:eastAsia="Calibri"/>
                <w:b w:val="0"/>
                <w:i w:val="0"/>
                <w:color w:val="1A1A1A"/>
                <w:sz w:val="20"/>
              </w:rPr>
              <w:t>Assemble every Pozitive bill for the four years.</w:t>
            </w:r>
          </w:p>
        </w:tc>
      </w:tr>
      <w:tr>
        <w:tc>
          <w:tcPr>
            <w:tcW w:type="dxa" w:w="3362"/>
            <w:shd w:fill="F4EFE6" w:val="clear"/>
          </w:tcPr>
          <w:p>
            <w:pPr>
              <w:spacing w:after="40" w:before="40"/>
            </w:pPr>
            <w:r/>
            <w:r>
              <w:rPr>
                <w:rFonts w:ascii="Calibri" w:hAnsi="Calibri" w:eastAsia="Calibri"/>
                <w:b w:val="0"/>
                <w:i w:val="0"/>
                <w:color w:val="1A1A1A"/>
                <w:sz w:val="20"/>
              </w:rPr>
              <w:t>Invoice dates</w:t>
            </w:r>
          </w:p>
        </w:tc>
        <w:tc>
          <w:tcPr>
            <w:tcW w:type="dxa" w:w="3362"/>
            <w:shd w:fill="F4EFE6" w:val="clear"/>
          </w:tcPr>
          <w:p>
            <w:pPr>
              <w:spacing w:after="40" w:before="40"/>
            </w:pPr>
            <w:r/>
            <w:r>
              <w:rPr>
                <w:rFonts w:ascii="Calibri" w:hAnsi="Calibri" w:eastAsia="Calibri"/>
                <w:b w:val="0"/>
                <w:i w:val="0"/>
                <w:color w:val="1A1A1A"/>
                <w:sz w:val="20"/>
              </w:rPr>
              <w:t>The 6.00-year clock is a mid-point assumption.</w:t>
            </w:r>
          </w:p>
        </w:tc>
        <w:tc>
          <w:tcPr>
            <w:tcW w:type="dxa" w:w="3362"/>
            <w:shd w:fill="F4EFE6" w:val="clear"/>
          </w:tcPr>
          <w:p>
            <w:pPr>
              <w:spacing w:after="40" w:before="40"/>
            </w:pPr>
            <w:r/>
            <w:r>
              <w:rPr>
                <w:rFonts w:ascii="Calibri" w:hAnsi="Calibri" w:eastAsia="Calibri"/>
                <w:b w:val="0"/>
                <w:i w:val="0"/>
                <w:color w:val="1A1A1A"/>
                <w:sz w:val="20"/>
              </w:rPr>
              <w:t>Put dates on the Data Bridge; re-run 6% bill by bill.</w:t>
            </w:r>
          </w:p>
        </w:tc>
      </w:tr>
      <w:tr>
        <w:tc>
          <w:tcPr>
            <w:tcW w:type="dxa" w:w="3362"/>
          </w:tcPr>
          <w:p>
            <w:pPr>
              <w:spacing w:after="40" w:before="40"/>
            </w:pPr>
            <w:r/>
            <w:r>
              <w:rPr>
                <w:rFonts w:ascii="Calibri" w:hAnsi="Calibri" w:eastAsia="Calibri"/>
                <w:b w:val="0"/>
                <w:i w:val="0"/>
                <w:color w:val="1A1A1A"/>
                <w:sz w:val="20"/>
              </w:rPr>
              <w:t>Pozitive wholesale / hedge</w:t>
            </w:r>
          </w:p>
        </w:tc>
        <w:tc>
          <w:tcPr>
            <w:tcW w:type="dxa" w:w="3362"/>
          </w:tcPr>
          <w:p>
            <w:pPr>
              <w:spacing w:after="40" w:before="40"/>
            </w:pPr>
            <w:r/>
            <w:r>
              <w:rPr>
                <w:rFonts w:ascii="Calibri" w:hAnsi="Calibri" w:eastAsia="Calibri"/>
                <w:b w:val="0"/>
                <w:i w:val="0"/>
                <w:color w:val="1A1A1A"/>
                <w:sz w:val="20"/>
              </w:rPr>
              <w:t>C is an OFGEM average.</w:t>
            </w:r>
          </w:p>
        </w:tc>
        <w:tc>
          <w:tcPr>
            <w:tcW w:type="dxa" w:w="3362"/>
          </w:tcPr>
          <w:p>
            <w:pPr>
              <w:spacing w:after="40" w:before="40"/>
            </w:pPr>
            <w:r/>
            <w:r>
              <w:rPr>
                <w:rFonts w:ascii="Calibri" w:hAnsi="Calibri" w:eastAsia="Calibri"/>
                <w:b w:val="0"/>
                <w:i w:val="0"/>
                <w:color w:val="1A1A1A"/>
                <w:sz w:val="20"/>
              </w:rPr>
              <w:t>Ask Pozitive for the pricing build-up.</w:t>
            </w:r>
          </w:p>
        </w:tc>
      </w:tr>
      <w:tr>
        <w:tc>
          <w:tcPr>
            <w:tcW w:type="dxa" w:w="3362"/>
            <w:shd w:fill="F4EFE6" w:val="clear"/>
          </w:tcPr>
          <w:p>
            <w:pPr>
              <w:spacing w:after="40" w:before="40"/>
            </w:pPr>
            <w:r/>
            <w:r>
              <w:rPr>
                <w:rFonts w:ascii="Calibri" w:hAnsi="Calibri" w:eastAsia="Calibri"/>
                <w:b w:val="0"/>
                <w:i w:val="0"/>
                <w:color w:val="1A1A1A"/>
                <w:sz w:val="20"/>
              </w:rPr>
              <w:t>Pozitive delivery cost</w:t>
            </w:r>
          </w:p>
        </w:tc>
        <w:tc>
          <w:tcPr>
            <w:tcW w:type="dxa" w:w="3362"/>
            <w:shd w:fill="F4EFE6" w:val="clear"/>
          </w:tcPr>
          <w:p>
            <w:pPr>
              <w:spacing w:after="40" w:before="40"/>
            </w:pPr>
            <w:r/>
            <w:r>
              <w:rPr>
                <w:rFonts w:ascii="Calibri" w:hAnsi="Calibri" w:eastAsia="Calibri"/>
                <w:b w:val="0"/>
                <w:i w:val="0"/>
                <w:color w:val="1A1A1A"/>
                <w:sz w:val="20"/>
              </w:rPr>
              <w:t>D is a 40% proxy.</w:t>
            </w:r>
          </w:p>
        </w:tc>
        <w:tc>
          <w:tcPr>
            <w:tcW w:type="dxa" w:w="3362"/>
            <w:shd w:fill="F4EFE6" w:val="clear"/>
          </w:tcPr>
          <w:p>
            <w:pPr>
              <w:spacing w:after="40" w:before="40"/>
            </w:pPr>
            <w:r/>
            <w:r>
              <w:rPr>
                <w:rFonts w:ascii="Calibri" w:hAnsi="Calibri" w:eastAsia="Calibri"/>
                <w:b w:val="0"/>
                <w:i w:val="0"/>
                <w:color w:val="1A1A1A"/>
                <w:sz w:val="20"/>
              </w:rPr>
              <w:t>Ask Pozitive for actual delivery cost. Retire the 40% when that arrives.</w:t>
            </w:r>
          </w:p>
        </w:tc>
      </w:tr>
      <w:tr>
        <w:tc>
          <w:tcPr>
            <w:tcW w:type="dxa" w:w="3362"/>
          </w:tcPr>
          <w:p>
            <w:pPr>
              <w:spacing w:after="40" w:before="40"/>
            </w:pPr>
            <w:r/>
            <w:r>
              <w:rPr>
                <w:rFonts w:ascii="Calibri" w:hAnsi="Calibri" w:eastAsia="Calibri"/>
                <w:b w:val="0"/>
                <w:i w:val="0"/>
                <w:color w:val="1A1A1A"/>
                <w:sz w:val="20"/>
              </w:rPr>
              <w:t>Commission ledger</w:t>
            </w:r>
          </w:p>
        </w:tc>
        <w:tc>
          <w:tcPr>
            <w:tcW w:type="dxa" w:w="3362"/>
          </w:tcPr>
          <w:p>
            <w:pPr>
              <w:spacing w:after="40" w:before="40"/>
            </w:pPr>
            <w:r/>
            <w:r>
              <w:rPr>
                <w:rFonts w:ascii="Calibri" w:hAnsi="Calibri" w:eastAsia="Calibri"/>
                <w:b w:val="0"/>
                <w:i w:val="0"/>
                <w:color w:val="1A1A1A"/>
                <w:sz w:val="20"/>
              </w:rPr>
              <w:t>£6,880.29 is an estimate at about 3p/kWh.</w:t>
            </w:r>
          </w:p>
        </w:tc>
        <w:tc>
          <w:tcPr>
            <w:tcW w:type="dxa" w:w="3362"/>
          </w:tcPr>
          <w:p>
            <w:pPr>
              <w:spacing w:after="40" w:before="40"/>
            </w:pPr>
            <w:r/>
            <w:r>
              <w:rPr>
                <w:rFonts w:ascii="Calibri" w:hAnsi="Calibri" w:eastAsia="Calibri"/>
                <w:b w:val="0"/>
                <w:i w:val="0"/>
                <w:color w:val="1A1A1A"/>
                <w:sz w:val="20"/>
              </w:rPr>
              <w:t>Ask Pozitive for the intermediary agreement and ledger.</w:t>
            </w:r>
          </w:p>
        </w:tc>
      </w:tr>
      <w:tr>
        <w:tc>
          <w:tcPr>
            <w:tcW w:type="dxa" w:w="3362"/>
            <w:shd w:fill="F4EFE6" w:val="clear"/>
          </w:tcPr>
          <w:p>
            <w:pPr>
              <w:spacing w:after="40" w:before="40"/>
            </w:pPr>
            <w:r/>
            <w:r>
              <w:rPr>
                <w:rFonts w:ascii="Calibri" w:hAnsi="Calibri" w:eastAsia="Calibri"/>
                <w:b w:val="0"/>
                <w:i w:val="0"/>
                <w:color w:val="1A1A1A"/>
                <w:sz w:val="20"/>
              </w:rPr>
              <w:t>2020 checklist / later LOAs</w:t>
            </w:r>
          </w:p>
        </w:tc>
        <w:tc>
          <w:tcPr>
            <w:tcW w:type="dxa" w:w="3362"/>
            <w:shd w:fill="F4EFE6" w:val="clear"/>
          </w:tcPr>
          <w:p>
            <w:pPr>
              <w:spacing w:after="40" w:before="40"/>
            </w:pPr>
            <w:r/>
            <w:r>
              <w:rPr>
                <w:rFonts w:ascii="Calibri" w:hAnsi="Calibri" w:eastAsia="Calibri"/>
                <w:b w:val="0"/>
                <w:i w:val="0"/>
                <w:color w:val="1A1A1A"/>
                <w:sz w:val="20"/>
              </w:rPr>
              <w:t>The opinion records they were not in counsel’s bundle.</w:t>
            </w:r>
          </w:p>
        </w:tc>
        <w:tc>
          <w:tcPr>
            <w:tcW w:type="dxa" w:w="3362"/>
            <w:shd w:fill="F4EFE6" w:val="clear"/>
          </w:tcPr>
          <w:p>
            <w:pPr>
              <w:spacing w:after="40" w:before="40"/>
            </w:pPr>
            <w:r/>
            <w:r>
              <w:rPr>
                <w:rFonts w:ascii="Calibri" w:hAnsi="Calibri" w:eastAsia="Calibri"/>
                <w:b w:val="0"/>
                <w:i w:val="0"/>
                <w:color w:val="1A1A1A"/>
                <w:sz w:val="20"/>
              </w:rPr>
              <w:t>Ask the broker’s file.</w:t>
            </w:r>
          </w:p>
        </w:tc>
      </w:tr>
      <w:tr>
        <w:tc>
          <w:tcPr>
            <w:tcW w:type="dxa" w:w="3362"/>
          </w:tcPr>
          <w:p>
            <w:pPr>
              <w:spacing w:after="40" w:before="40"/>
            </w:pPr>
            <w:r/>
            <w:r>
              <w:rPr>
                <w:rFonts w:ascii="Calibri" w:hAnsi="Calibri" w:eastAsia="Calibri"/>
                <w:b w:val="0"/>
                <w:i w:val="0"/>
                <w:color w:val="1A1A1A"/>
                <w:sz w:val="20"/>
              </w:rPr>
              <w:t>2021 start date</w:t>
            </w:r>
          </w:p>
        </w:tc>
        <w:tc>
          <w:tcPr>
            <w:tcW w:type="dxa" w:w="3362"/>
          </w:tcPr>
          <w:p>
            <w:pPr>
              <w:spacing w:after="40" w:before="40"/>
            </w:pPr>
            <w:r/>
            <w:r>
              <w:rPr>
                <w:rFonts w:ascii="Calibri" w:hAnsi="Calibri" w:eastAsia="Calibri"/>
                <w:b w:val="0"/>
                <w:i w:val="0"/>
                <w:color w:val="1A1A1A"/>
                <w:sz w:val="20"/>
              </w:rPr>
              <w:t>The opinion notes JDH used 22 July 2021; the contract says 25 July 2021.</w:t>
            </w:r>
          </w:p>
        </w:tc>
        <w:tc>
          <w:tcPr>
            <w:tcW w:type="dxa" w:w="3362"/>
          </w:tcPr>
          <w:p>
            <w:pPr>
              <w:spacing w:after="40" w:before="40"/>
            </w:pPr>
            <w:r/>
            <w:r>
              <w:rPr>
                <w:rFonts w:ascii="Calibri" w:hAnsi="Calibri" w:eastAsia="Calibri"/>
                <w:b w:val="0"/>
                <w:i w:val="0"/>
                <w:color w:val="1A1A1A"/>
                <w:sz w:val="20"/>
              </w:rPr>
              <w:t>Reconcile on the re-run.</w:t>
            </w:r>
          </w:p>
        </w:tc>
      </w:tr>
    </w:tbl>
    <w:p/>
    <w:p>
      <w:pPr>
        <w:pStyle w:val="Heading1"/>
      </w:pPr>
      <w:r>
        <w:rPr>
          <w:rFonts w:ascii="Calibri" w:hAnsi="Calibri"/>
          <w:color w:val="7A1F2B"/>
        </w:rPr>
        <w:t>12. Limitations</w:t>
      </w:r>
    </w:p>
    <w:p>
      <w:pPr>
        <w:pStyle w:val="ListBullet"/>
      </w:pPr>
      <w:r>
        <w:rPr>
          <w:rFonts w:ascii="Calibri" w:hAnsi="Calibri" w:eastAsia="Calibri"/>
          <w:b w:val="0"/>
          <w:i w:val="0"/>
          <w:color w:val="1A1A1A"/>
          <w:sz w:val="22"/>
        </w:rPr>
        <w:t>Only the documents in section 10 were used.</w:t>
      </w:r>
    </w:p>
    <w:p>
      <w:pPr>
        <w:pStyle w:val="ListBullet"/>
      </w:pPr>
      <w:r>
        <w:rPr>
          <w:rFonts w:ascii="Calibri" w:hAnsi="Calibri" w:eastAsia="Calibri"/>
          <w:b w:val="0"/>
          <w:i w:val="0"/>
          <w:color w:val="1A1A1A"/>
          <w:sz w:val="22"/>
        </w:rPr>
        <w:t>No view is expressed on liability, limitation, or whether papers should be issued.</w:t>
      </w:r>
    </w:p>
    <w:p>
      <w:pPr>
        <w:pStyle w:val="ListBullet"/>
      </w:pPr>
      <w:r>
        <w:rPr>
          <w:rFonts w:ascii="Calibri" w:hAnsi="Calibri" w:eastAsia="Calibri"/>
          <w:b w:val="0"/>
          <w:i w:val="0"/>
          <w:color w:val="1A1A1A"/>
          <w:sz w:val="22"/>
        </w:rPr>
        <w:t>The legal cases named in the opinion (Hopcraft, Expert Tooling, Wood) are not re-argued here. They are context for why A, C and D are the letters they are.</w:t>
      </w:r>
    </w:p>
    <w:p>
      <w:pPr>
        <w:pStyle w:val="ListBullet"/>
      </w:pPr>
      <w:r>
        <w:rPr>
          <w:rFonts w:ascii="Calibri" w:hAnsi="Calibri" w:eastAsia="Calibri"/>
          <w:b w:val="0"/>
          <w:i w:val="0"/>
          <w:color w:val="1A1A1A"/>
          <w:sz w:val="22"/>
        </w:rPr>
        <w:t>Figures will move when the blanks in section 11 are filled.</w:t>
      </w:r>
    </w:p>
    <w:p>
      <w:pPr>
        <w:pStyle w:val="ListBullet"/>
      </w:pPr>
      <w:r>
        <w:rPr>
          <w:rFonts w:ascii="Calibri" w:hAnsi="Calibri" w:eastAsia="Calibri"/>
          <w:b w:val="0"/>
          <w:i w:val="0"/>
          <w:color w:val="1A1A1A"/>
          <w:sz w:val="22"/>
        </w:rPr>
        <w:t>Clerical points the opinion already flagged (name “Steven White”, “Brottonn Road”, standing charge written as per kWh in JDH) are not corrected in the JDH pounds, because this pack does not re-work JDH’s sheets.</w:t>
      </w:r>
    </w:p>
    <w:p>
      <w:pPr>
        <w:pStyle w:val="Heading1"/>
      </w:pPr>
      <w:r>
        <w:rPr>
          <w:rFonts w:ascii="Calibri" w:hAnsi="Calibri"/>
          <w:color w:val="7A1F2B"/>
        </w:rPr>
        <w:t>13. Short glossary</w:t>
      </w:r>
    </w:p>
    <w:tbl>
      <w:tblPr>
        <w:tblStyle w:val="TableGrid"/>
        <w:tblW w:type="auto" w:w="0"/>
        <w:tblLook w:firstColumn="1" w:firstRow="1" w:lastColumn="0" w:lastRow="0" w:noHBand="0" w:noVBand="1" w:val="04A0"/>
      </w:tblPr>
      <w:tblGrid>
        <w:gridCol w:w="5043"/>
        <w:gridCol w:w="5043"/>
      </w:tblGrid>
      <w:tr>
        <w:tc>
          <w:tcPr>
            <w:tcW w:type="dxa" w:w="5043"/>
            <w:shd w:fill="7A1F2B" w:val="clear"/>
          </w:tcPr>
          <w:p>
            <w:pPr>
              <w:spacing w:after="40" w:before="40"/>
            </w:pPr>
            <w:r/>
            <w:r>
              <w:rPr>
                <w:rFonts w:ascii="Calibri" w:hAnsi="Calibri" w:eastAsia="Calibri"/>
                <w:b/>
                <w:i w:val="0"/>
                <w:color w:val="FFFFFF"/>
                <w:sz w:val="20"/>
              </w:rPr>
              <w:t>Term</w:t>
            </w:r>
          </w:p>
        </w:tc>
        <w:tc>
          <w:tcPr>
            <w:tcW w:type="dxa" w:w="5043"/>
            <w:shd w:fill="7A1F2B" w:val="clear"/>
          </w:tcPr>
          <w:p>
            <w:pPr>
              <w:spacing w:after="40" w:before="40"/>
            </w:pPr>
            <w:r/>
            <w:r>
              <w:rPr>
                <w:rFonts w:ascii="Calibri" w:hAnsi="Calibri" w:eastAsia="Calibri"/>
                <w:b/>
                <w:i w:val="0"/>
                <w:color w:val="FFFFFF"/>
                <w:sz w:val="20"/>
              </w:rPr>
              <w:t>Meaning in this valuation</w:t>
            </w:r>
          </w:p>
        </w:tc>
      </w:tr>
      <w:tr>
        <w:tc>
          <w:tcPr>
            <w:tcW w:type="dxa" w:w="5043"/>
          </w:tcPr>
          <w:p>
            <w:pPr>
              <w:spacing w:after="40" w:before="40"/>
            </w:pPr>
            <w:r/>
            <w:r>
              <w:rPr>
                <w:rFonts w:ascii="Calibri" w:hAnsi="Calibri" w:eastAsia="Calibri"/>
                <w:b w:val="0"/>
                <w:i w:val="0"/>
                <w:color w:val="1A1A1A"/>
                <w:sz w:val="20"/>
              </w:rPr>
              <w:t>A</w:t>
            </w:r>
          </w:p>
        </w:tc>
        <w:tc>
          <w:tcPr>
            <w:tcW w:type="dxa" w:w="5043"/>
          </w:tcPr>
          <w:p>
            <w:pPr>
              <w:spacing w:after="40" w:before="40"/>
            </w:pPr>
            <w:r/>
            <w:r>
              <w:rPr>
                <w:rFonts w:ascii="Calibri" w:hAnsi="Calibri" w:eastAsia="Calibri"/>
                <w:b w:val="0"/>
                <w:i w:val="0"/>
                <w:color w:val="1A1A1A"/>
                <w:sz w:val="20"/>
              </w:rPr>
              <w:t>What the Club paid, as JDH totalled it from the bills they had.</w:t>
            </w:r>
          </w:p>
        </w:tc>
      </w:tr>
      <w:tr>
        <w:tc>
          <w:tcPr>
            <w:tcW w:type="dxa" w:w="5043"/>
            <w:shd w:fill="F4EFE6" w:val="clear"/>
          </w:tcPr>
          <w:p>
            <w:pPr>
              <w:spacing w:after="40" w:before="40"/>
            </w:pPr>
            <w:r/>
            <w:r>
              <w:rPr>
                <w:rFonts w:ascii="Calibri" w:hAnsi="Calibri" w:eastAsia="Calibri"/>
                <w:b w:val="0"/>
                <w:i w:val="0"/>
                <w:color w:val="1A1A1A"/>
                <w:sz w:val="20"/>
              </w:rPr>
              <w:t>B</w:t>
            </w:r>
          </w:p>
        </w:tc>
        <w:tc>
          <w:tcPr>
            <w:tcW w:type="dxa" w:w="5043"/>
            <w:shd w:fill="F4EFE6" w:val="clear"/>
          </w:tcPr>
          <w:p>
            <w:pPr>
              <w:spacing w:after="40" w:before="40"/>
            </w:pPr>
            <w:r/>
            <w:r>
              <w:rPr>
                <w:rFonts w:ascii="Calibri" w:hAnsi="Calibri" w:eastAsia="Calibri"/>
                <w:b w:val="0"/>
                <w:i w:val="0"/>
                <w:color w:val="1A1A1A"/>
                <w:sz w:val="20"/>
              </w:rPr>
              <w:t>Interest on A at 6% simple for 6.00 years.</w:t>
            </w:r>
          </w:p>
        </w:tc>
      </w:tr>
      <w:tr>
        <w:tc>
          <w:tcPr>
            <w:tcW w:type="dxa" w:w="5043"/>
          </w:tcPr>
          <w:p>
            <w:pPr>
              <w:spacing w:after="40" w:before="40"/>
            </w:pPr>
            <w:r/>
            <w:r>
              <w:rPr>
                <w:rFonts w:ascii="Calibri" w:hAnsi="Calibri" w:eastAsia="Calibri"/>
                <w:b w:val="0"/>
                <w:i w:val="0"/>
                <w:color w:val="1A1A1A"/>
                <w:sz w:val="20"/>
              </w:rPr>
              <w:t>C</w:t>
            </w:r>
          </w:p>
        </w:tc>
        <w:tc>
          <w:tcPr>
            <w:tcW w:type="dxa" w:w="5043"/>
          </w:tcPr>
          <w:p>
            <w:pPr>
              <w:spacing w:after="40" w:before="40"/>
            </w:pPr>
            <w:r/>
            <w:r>
              <w:rPr>
                <w:rFonts w:ascii="Calibri" w:hAnsi="Calibri" w:eastAsia="Calibri"/>
                <w:b w:val="0"/>
                <w:i w:val="0"/>
                <w:color w:val="1A1A1A"/>
                <w:sz w:val="20"/>
              </w:rPr>
              <w:t>Wholesale cost of the energy, as JDH took it from OFGEM averages.</w:t>
            </w:r>
          </w:p>
        </w:tc>
      </w:tr>
      <w:tr>
        <w:tc>
          <w:tcPr>
            <w:tcW w:type="dxa" w:w="5043"/>
            <w:shd w:fill="F4EFE6" w:val="clear"/>
          </w:tcPr>
          <w:p>
            <w:pPr>
              <w:spacing w:after="40" w:before="40"/>
            </w:pPr>
            <w:r/>
            <w:r>
              <w:rPr>
                <w:rFonts w:ascii="Calibri" w:hAnsi="Calibri" w:eastAsia="Calibri"/>
                <w:b w:val="0"/>
                <w:i w:val="0"/>
                <w:color w:val="1A1A1A"/>
                <w:sz w:val="20"/>
              </w:rPr>
              <w:t>D</w:t>
            </w:r>
          </w:p>
        </w:tc>
        <w:tc>
          <w:tcPr>
            <w:tcW w:type="dxa" w:w="5043"/>
            <w:shd w:fill="F4EFE6" w:val="clear"/>
          </w:tcPr>
          <w:p>
            <w:pPr>
              <w:spacing w:after="40" w:before="40"/>
            </w:pPr>
            <w:r/>
            <w:r>
              <w:rPr>
                <w:rFonts w:ascii="Calibri" w:hAnsi="Calibri" w:eastAsia="Calibri"/>
                <w:b w:val="0"/>
                <w:i w:val="0"/>
                <w:color w:val="1A1A1A"/>
                <w:sz w:val="20"/>
              </w:rPr>
              <w:t>40% of C, standing in for getting the energy to the meter.</w:t>
            </w:r>
          </w:p>
        </w:tc>
      </w:tr>
      <w:tr>
        <w:tc>
          <w:tcPr>
            <w:tcW w:type="dxa" w:w="5043"/>
          </w:tcPr>
          <w:p>
            <w:pPr>
              <w:spacing w:after="40" w:before="40"/>
            </w:pPr>
            <w:r/>
            <w:r>
              <w:rPr>
                <w:rFonts w:ascii="Calibri" w:hAnsi="Calibri" w:eastAsia="Calibri"/>
                <w:b w:val="0"/>
                <w:i w:val="0"/>
                <w:color w:val="1A1A1A"/>
                <w:sz w:val="20"/>
              </w:rPr>
              <w:t>E</w:t>
            </w:r>
          </w:p>
        </w:tc>
        <w:tc>
          <w:tcPr>
            <w:tcW w:type="dxa" w:w="5043"/>
          </w:tcPr>
          <w:p>
            <w:pPr>
              <w:spacing w:after="40" w:before="40"/>
            </w:pPr>
            <w:r/>
            <w:r>
              <w:rPr>
                <w:rFonts w:ascii="Calibri" w:hAnsi="Calibri" w:eastAsia="Calibri"/>
                <w:b w:val="0"/>
                <w:i w:val="0"/>
                <w:color w:val="1A1A1A"/>
                <w:sz w:val="20"/>
              </w:rPr>
              <w:t>Interest on C + D at the same 6% for the same 6.00 years.</w:t>
            </w:r>
          </w:p>
        </w:tc>
      </w:tr>
      <w:tr>
        <w:tc>
          <w:tcPr>
            <w:tcW w:type="dxa" w:w="5043"/>
            <w:shd w:fill="F4EFE6" w:val="clear"/>
          </w:tcPr>
          <w:p>
            <w:pPr>
              <w:spacing w:after="40" w:before="40"/>
            </w:pPr>
            <w:r/>
            <w:r>
              <w:rPr>
                <w:rFonts w:ascii="Calibri" w:hAnsi="Calibri" w:eastAsia="Calibri"/>
                <w:b w:val="0"/>
                <w:i w:val="0"/>
                <w:color w:val="1A1A1A"/>
                <w:sz w:val="20"/>
              </w:rPr>
              <w:t>Wood</w:t>
            </w:r>
          </w:p>
        </w:tc>
        <w:tc>
          <w:tcPr>
            <w:tcW w:type="dxa" w:w="5043"/>
            <w:shd w:fill="F4EFE6" w:val="clear"/>
          </w:tcPr>
          <w:p>
            <w:pPr>
              <w:spacing w:after="40" w:before="40"/>
            </w:pPr>
            <w:r/>
            <w:r>
              <w:rPr>
                <w:rFonts w:ascii="Calibri" w:hAnsi="Calibri" w:eastAsia="Calibri"/>
                <w:b w:val="0"/>
                <w:i w:val="0"/>
                <w:color w:val="1A1A1A"/>
                <w:sz w:val="20"/>
              </w:rPr>
              <w:t>The rescission idea: pay back what was paid, give credit for true cost of supply, with interest on both sides.</w:t>
            </w:r>
          </w:p>
        </w:tc>
      </w:tr>
      <w:tr>
        <w:tc>
          <w:tcPr>
            <w:tcW w:type="dxa" w:w="5043"/>
          </w:tcPr>
          <w:p>
            <w:pPr>
              <w:spacing w:after="40" w:before="40"/>
            </w:pPr>
            <w:r/>
            <w:r>
              <w:rPr>
                <w:rFonts w:ascii="Calibri" w:hAnsi="Calibri" w:eastAsia="Calibri"/>
                <w:b w:val="0"/>
                <w:i w:val="0"/>
                <w:color w:val="1A1A1A"/>
                <w:sz w:val="20"/>
              </w:rPr>
              <w:t>Proxy</w:t>
            </w:r>
          </w:p>
        </w:tc>
        <w:tc>
          <w:tcPr>
            <w:tcW w:type="dxa" w:w="5043"/>
          </w:tcPr>
          <w:p>
            <w:pPr>
              <w:spacing w:after="40" w:before="40"/>
            </w:pPr>
            <w:r/>
            <w:r>
              <w:rPr>
                <w:rFonts w:ascii="Calibri" w:hAnsi="Calibri" w:eastAsia="Calibri"/>
                <w:b w:val="0"/>
                <w:i w:val="0"/>
                <w:color w:val="1A1A1A"/>
                <w:sz w:val="20"/>
              </w:rPr>
              <w:t>A stand-in figure, named as such, used only until the actual document exists.</w:t>
            </w:r>
          </w:p>
        </w:tc>
      </w:tr>
      <w:tr>
        <w:tc>
          <w:tcPr>
            <w:tcW w:type="dxa" w:w="5043"/>
            <w:shd w:fill="F4EFE6" w:val="clear"/>
          </w:tcPr>
          <w:p>
            <w:pPr>
              <w:spacing w:after="40" w:before="40"/>
            </w:pPr>
            <w:r/>
            <w:r>
              <w:rPr>
                <w:rFonts w:ascii="Calibri" w:hAnsi="Calibri" w:eastAsia="Calibri"/>
                <w:b w:val="0"/>
                <w:i w:val="0"/>
                <w:color w:val="1A1A1A"/>
                <w:sz w:val="20"/>
              </w:rPr>
              <w:t>JDH</w:t>
            </w:r>
          </w:p>
        </w:tc>
        <w:tc>
          <w:tcPr>
            <w:tcW w:type="dxa" w:w="5043"/>
            <w:shd w:fill="F4EFE6" w:val="clear"/>
          </w:tcPr>
          <w:p>
            <w:pPr>
              <w:spacing w:after="40" w:before="40"/>
            </w:pPr>
            <w:r/>
            <w:r>
              <w:rPr>
                <w:rFonts w:ascii="Calibri" w:hAnsi="Calibri" w:eastAsia="Calibri"/>
                <w:b w:val="0"/>
                <w:i w:val="0"/>
                <w:color w:val="1A1A1A"/>
                <w:sz w:val="20"/>
              </w:rPr>
              <w:t>JDH Reports, valuation JDH-26-0010, 21 July 2026, as described in the opinion. Workbook not attached.</w:t>
            </w:r>
          </w:p>
        </w:tc>
      </w:tr>
    </w:tbl>
    <w:p/>
    <w:p>
      <w:pPr>
        <w:spacing w:after="160"/>
      </w:pPr>
      <w:r>
        <w:rPr>
          <w:rFonts w:ascii="Calibri" w:hAnsi="Calibri" w:eastAsia="Calibri"/>
          <w:b/>
          <w:i w:val="0"/>
          <w:color w:val="1A1A1A"/>
          <w:sz w:val="22"/>
        </w:rPr>
        <w:t>The figure this valuation carries forward is £24,989.01 to 21 July 2026. It is JDH’s A and C, a 40% proxy on C, and 6% simple for 6.00 years on both sides. It is not JDH’s £29,685.72, and it is not a ledger commission.</w:t>
      </w:r>
    </w:p>
    <w:sectPr w:rsidR="00FC693F" w:rsidRPr="0006063C" w:rsidSect="00034616">
      <w:headerReference w:type="default" r:id="rId9"/>
      <w:footerReference w:type="default" r:id="rId10"/>
      <w:pgSz w:w="12240" w:h="15840"/>
      <w:pgMar w:top="1474" w:right="1077" w:bottom="1020" w:left="1077" w:header="283"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Calibri" w:hAnsi="Calibri" w:eastAsia="Calibri"/>
        <w:b w:val="0"/>
        <w:i w:val="0"/>
        <w:color w:val="4A4A4A"/>
        <w:sz w:val="16"/>
      </w:rPr>
      <w:t>Quantum valuation  ·  19 August 2026  ·  Not legal advice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drawing>
        <wp:inline xmlns:a="http://schemas.openxmlformats.org/drawingml/2006/main" xmlns:pic="http://schemas.openxmlformats.org/drawingml/2006/picture">
          <wp:extent cx="335101" cy="502920"/>
          <wp:docPr id="1" name="Picture 1"/>
          <wp:cNvGraphicFramePr>
            <a:graphicFrameLocks noChangeAspect="1"/>
          </wp:cNvGraphicFramePr>
          <a:graphic>
            <a:graphicData uri="http://schemas.openxmlformats.org/drawingml/2006/picture">
              <pic:pic>
                <pic:nvPicPr>
                  <pic:cNvPr id="0" name="crimson-horse-logo.png"/>
                  <pic:cNvPicPr/>
                </pic:nvPicPr>
                <pic:blipFill>
                  <a:blip r:embed="rId1"/>
                  <a:stretch>
                    <a:fillRect/>
                  </a:stretch>
                </pic:blipFill>
                <pic:spPr>
                  <a:xfrm>
                    <a:off x="0" y="0"/>
                    <a:ext cx="335101" cy="502920"/>
                  </a:xfrm>
                  <a:prstGeom prst="rect"/>
                </pic:spPr>
              </pic:pic>
            </a:graphicData>
          </a:graphic>
        </wp:inline>
      </w:drawing>
    </w:r>
    <w:r>
      <w:rPr>
        <w:rFonts w:ascii="Calibri" w:hAnsi="Calibri" w:eastAsia="Calibri"/>
        <w:b/>
        <w:i w:val="0"/>
        <w:color w:val="7A1F2B"/>
        <w:sz w:val="18"/>
      </w:rPr>
      <w:t xml:space="preserve">    CRIMSON HORSE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