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pPr>
      <w:r>
        <w:rPr>
          <w:rFonts w:ascii="Calibri" w:hAnsi="Calibri" w:eastAsia="Calibri"/>
          <w:b/>
          <w:color w:val="7A1F2B"/>
          <w:sz w:val="72"/>
        </w:rPr>
        <w:t>CRIMSON</w:t>
      </w:r>
    </w:p>
    <w:p>
      <w:r>
        <w:rPr>
          <w:rFonts w:ascii="Calibri" w:hAnsi="Calibri" w:eastAsia="Calibri"/>
          <w:b w:val="0"/>
          <w:color w:val="1A1A1A"/>
          <w:sz w:val="32"/>
        </w:rPr>
        <w:t>The Crimson Horse Agent — how it is run and sold</w:t>
      </w:r>
    </w:p>
    <w:p>
      <w:pPr>
        <w:spacing w:after="160"/>
      </w:pPr>
      <w:r>
        <w:rPr>
          <w:rFonts w:ascii="Calibri" w:hAnsi="Calibri" w:eastAsia="Calibri"/>
          <w:b/>
          <w:i w:val="0"/>
          <w:color w:val="7A1F2B"/>
          <w:sz w:val="24"/>
        </w:rPr>
        <w:t>Extract  ·  Data Bridge  ·  Calculator  ·  Quantum Valuation</w:t>
      </w:r>
    </w:p>
    <w:p>
      <w:pPr>
        <w:spacing w:after="160"/>
      </w:pPr>
      <w:r>
        <w:rPr>
          <w:rFonts w:ascii="Calibri" w:hAnsi="Calibri" w:eastAsia="Calibri"/>
          <w:b w:val="0"/>
          <w:i w:val="0"/>
          <w:color w:val="1A1A1A"/>
          <w:sz w:val="22"/>
        </w:rPr>
        <w:t>One case. Every document named. Every blank explained. No invented rates — unless the solicitor instructs, in writing.</w:t>
      </w:r>
    </w:p>
    <w:p>
      <w:pPr>
        <w:spacing w:after="160"/>
      </w:pPr>
      <w:r>
        <w:rPr>
          <w:rFonts w:ascii="Calibri" w:hAnsi="Calibri" w:eastAsia="Calibri"/>
          <w:b w:val="0"/>
          <w:i w:val="0"/>
          <w:color w:val="4A4A4A"/>
          <w:sz w:val="20"/>
        </w:rPr>
        <w:t>Commercial and operating pack  ·  August 2026</w:t>
      </w:r>
    </w:p>
    <w:p>
      <w:pPr>
        <w:pStyle w:val="Heading1"/>
      </w:pPr>
      <w:r>
        <w:rPr>
          <w:rFonts w:ascii="Calibri" w:hAnsi="Calibri"/>
          <w:color w:val="7A1F2B"/>
        </w:rPr>
        <w:t>1. The idea in one page</w:t>
      </w:r>
    </w:p>
    <w:p>
      <w:pPr>
        <w:spacing w:after="160"/>
      </w:pPr>
      <w:r>
        <w:rPr>
          <w:rFonts w:ascii="Calibri" w:hAnsi="Calibri" w:eastAsia="Calibri"/>
          <w:b w:val="0"/>
          <w:i w:val="0"/>
          <w:color w:val="1A1A1A"/>
          <w:sz w:val="22"/>
        </w:rPr>
        <w:t>Most energy-claim files still move by hand: a pile of PDFs, a spreadsheet, a report, and a hope that last month’s 15% did not sneak into this month’s case. Crimson is built to end that.</w:t>
      </w:r>
    </w:p>
    <w:p>
      <w:pPr>
        <w:spacing w:after="160"/>
      </w:pPr>
      <w:r>
        <w:rPr>
          <w:rFonts w:ascii="Calibri" w:hAnsi="Calibri" w:eastAsia="Calibri"/>
          <w:b w:val="0"/>
          <w:i w:val="0"/>
          <w:color w:val="1A1A1A"/>
          <w:sz w:val="22"/>
        </w:rPr>
        <w:t>A trained operator drops one case folder into Crimson Extract. The Agent sorts contracts, bills, letters of authority and emails from the wrong files (mortgage packs, another client’s invoice, AppleDouble junk). It writes a Data Bridge. It lists every missing figure and the action required. If the instructing solicitor has given a commission percentage or an interest rate — and a formal note to support it — those figures are entered as instructed assumptions, labelled as such, next to the number. If they have not, the field stays blank.</w:t>
      </w:r>
    </w:p>
    <w:p>
      <w:pPr>
        <w:spacing w:after="160"/>
      </w:pPr>
      <w:r>
        <w:rPr>
          <w:rFonts w:ascii="Calibri" w:hAnsi="Calibri" w:eastAsia="Calibri"/>
          <w:b w:val="0"/>
          <w:i w:val="0"/>
          <w:color w:val="1A1A1A"/>
          <w:sz w:val="22"/>
        </w:rPr>
        <w:t>The result is a checked, branded work product a solicitor can read in plain English.</w:t>
      </w:r>
    </w:p>
    <w:p>
      <w:pPr>
        <w:pStyle w:val="Heading1"/>
      </w:pPr>
      <w:r>
        <w:rPr>
          <w:rFonts w:ascii="Calibri" w:hAnsi="Calibri"/>
          <w:color w:val="7A1F2B"/>
        </w:rPr>
        <w:t>2. The four named parts</w:t>
      </w:r>
    </w:p>
    <w:tbl>
      <w:tblPr>
        <w:tblStyle w:val="TableGrid"/>
        <w:tblW w:type="auto" w:w="0"/>
        <w:tblLook w:firstColumn="1" w:firstRow="1" w:lastColumn="0" w:lastRow="0" w:noHBand="0" w:noVBand="1" w:val="04A0"/>
      </w:tblPr>
      <w:tblGrid>
        <w:gridCol w:w="3400"/>
        <w:gridCol w:w="3400"/>
        <w:gridCol w:w="3400"/>
      </w:tblGrid>
      <w:tr>
        <w:tc>
          <w:tcPr>
            <w:tcW w:type="dxa" w:w="3400"/>
            <w:shd w:fill="7A1F2B" w:val="clear"/>
          </w:tcPr>
          <w:p>
            <w:r/>
            <w:r>
              <w:rPr>
                <w:rFonts w:ascii="Calibri" w:hAnsi="Calibri" w:eastAsia="Calibri"/>
                <w:b/>
                <w:color w:val="FFFFFF"/>
                <w:sz w:val="20"/>
              </w:rPr>
              <w:t>Name</w:t>
            </w:r>
          </w:p>
        </w:tc>
        <w:tc>
          <w:tcPr>
            <w:tcW w:type="dxa" w:w="3400"/>
            <w:shd w:fill="7A1F2B" w:val="clear"/>
          </w:tcPr>
          <w:p>
            <w:r/>
            <w:r>
              <w:rPr>
                <w:rFonts w:ascii="Calibri" w:hAnsi="Calibri" w:eastAsia="Calibri"/>
                <w:b/>
                <w:color w:val="FFFFFF"/>
                <w:sz w:val="20"/>
              </w:rPr>
              <w:t>What it is</w:t>
            </w:r>
          </w:p>
        </w:tc>
        <w:tc>
          <w:tcPr>
            <w:tcW w:type="dxa" w:w="3400"/>
            <w:shd w:fill="7A1F2B" w:val="clear"/>
          </w:tcPr>
          <w:p>
            <w:r/>
            <w:r>
              <w:rPr>
                <w:rFonts w:ascii="Calibri" w:hAnsi="Calibri" w:eastAsia="Calibri"/>
                <w:b/>
                <w:color w:val="FFFFFF"/>
                <w:sz w:val="20"/>
              </w:rPr>
              <w:t>What it is not</w:t>
            </w:r>
          </w:p>
        </w:tc>
      </w:tr>
      <w:tr>
        <w:tc>
          <w:tcPr>
            <w:tcW w:type="dxa" w:w="3400"/>
            <w:shd w:fill="FFFFFF" w:val="clear"/>
          </w:tcPr>
          <w:p>
            <w:r/>
            <w:r>
              <w:rPr>
                <w:rFonts w:ascii="Calibri" w:hAnsi="Calibri" w:eastAsia="Calibri"/>
                <w:b w:val="0"/>
                <w:color w:val="1A1A1A"/>
                <w:sz w:val="18"/>
              </w:rPr>
              <w:t>Crimson Extract</w:t>
            </w:r>
          </w:p>
        </w:tc>
        <w:tc>
          <w:tcPr>
            <w:tcW w:type="dxa" w:w="3400"/>
            <w:shd w:fill="FFFFFF" w:val="clear"/>
          </w:tcPr>
          <w:p>
            <w:r/>
            <w:r>
              <w:rPr>
                <w:rFonts w:ascii="Calibri" w:hAnsi="Calibri" w:eastAsia="Calibri"/>
                <w:b w:val="0"/>
                <w:color w:val="1A1A1A"/>
                <w:sz w:val="18"/>
              </w:rPr>
              <w:t>The Agent. Reads a single case folder or zip. Classifies every file. Copies only what is on the page.</w:t>
            </w:r>
          </w:p>
        </w:tc>
        <w:tc>
          <w:tcPr>
            <w:tcW w:type="dxa" w:w="3400"/>
            <w:shd w:fill="FFFFFF" w:val="clear"/>
          </w:tcPr>
          <w:p>
            <w:r/>
            <w:r>
              <w:rPr>
                <w:rFonts w:ascii="Calibri" w:hAnsi="Calibri" w:eastAsia="Calibri"/>
                <w:b w:val="0"/>
                <w:color w:val="1A1A1A"/>
                <w:sz w:val="18"/>
              </w:rPr>
              <w:t>Not a guess-engine. Not a legal adviser.</w:t>
            </w:r>
          </w:p>
        </w:tc>
      </w:tr>
      <w:tr>
        <w:tc>
          <w:tcPr>
            <w:tcW w:type="dxa" w:w="3400"/>
            <w:shd w:fill="F7F2F3" w:val="clear"/>
          </w:tcPr>
          <w:p>
            <w:r/>
            <w:r>
              <w:rPr>
                <w:rFonts w:ascii="Calibri" w:hAnsi="Calibri" w:eastAsia="Calibri"/>
                <w:b w:val="0"/>
                <w:color w:val="1A1A1A"/>
                <w:sz w:val="18"/>
              </w:rPr>
              <w:t>Crimson Data Bridge</w:t>
            </w:r>
          </w:p>
        </w:tc>
        <w:tc>
          <w:tcPr>
            <w:tcW w:type="dxa" w:w="3400"/>
            <w:shd w:fill="F7F2F3" w:val="clear"/>
          </w:tcPr>
          <w:p>
            <w:r/>
            <w:r>
              <w:rPr>
                <w:rFonts w:ascii="Calibri" w:hAnsi="Calibri" w:eastAsia="Calibri"/>
                <w:b w:val="0"/>
                <w:color w:val="1A1A1A"/>
                <w:sz w:val="18"/>
              </w:rPr>
              <w:t>The Excel control file. Contracts, bills, document schedule, blanks and actions, glossary.</w:t>
            </w:r>
          </w:p>
        </w:tc>
        <w:tc>
          <w:tcPr>
            <w:tcW w:type="dxa" w:w="3400"/>
            <w:shd w:fill="F7F2F3" w:val="clear"/>
          </w:tcPr>
          <w:p>
            <w:r/>
            <w:r>
              <w:rPr>
                <w:rFonts w:ascii="Calibri" w:hAnsi="Calibri" w:eastAsia="Calibri"/>
                <w:b w:val="0"/>
                <w:color w:val="1A1A1A"/>
                <w:sz w:val="18"/>
              </w:rPr>
              <w:t>Not the claim. It is the evidence map.</w:t>
            </w:r>
          </w:p>
        </w:tc>
      </w:tr>
      <w:tr>
        <w:tc>
          <w:tcPr>
            <w:tcW w:type="dxa" w:w="3400"/>
            <w:shd w:fill="FFFFFF" w:val="clear"/>
          </w:tcPr>
          <w:p>
            <w:r/>
            <w:r>
              <w:rPr>
                <w:rFonts w:ascii="Calibri" w:hAnsi="Calibri" w:eastAsia="Calibri"/>
                <w:b w:val="0"/>
                <w:color w:val="1A1A1A"/>
                <w:sz w:val="18"/>
              </w:rPr>
              <w:t>Crimson Calculator</w:t>
            </w:r>
          </w:p>
        </w:tc>
        <w:tc>
          <w:tcPr>
            <w:tcW w:type="dxa" w:w="3400"/>
            <w:shd w:fill="FFFFFF" w:val="clear"/>
          </w:tcPr>
          <w:p>
            <w:r/>
            <w:r>
              <w:rPr>
                <w:rFonts w:ascii="Calibri" w:hAnsi="Calibri" w:eastAsia="Calibri"/>
                <w:b w:val="0"/>
                <w:color w:val="1A1A1A"/>
                <w:sz w:val="18"/>
              </w:rPr>
              <w:t>Turns completed Bridge rows into Method 1 and Method 2 figures.</w:t>
            </w:r>
          </w:p>
        </w:tc>
        <w:tc>
          <w:tcPr>
            <w:tcW w:type="dxa" w:w="3400"/>
            <w:shd w:fill="FFFFFF" w:val="clear"/>
          </w:tcPr>
          <w:p>
            <w:r/>
            <w:r>
              <w:rPr>
                <w:rFonts w:ascii="Calibri" w:hAnsi="Calibri" w:eastAsia="Calibri"/>
                <w:b w:val="0"/>
                <w:color w:val="1A1A1A"/>
                <w:sz w:val="18"/>
              </w:rPr>
              <w:t>Will not invent a fair rate or a commission to force a number.</w:t>
            </w:r>
          </w:p>
        </w:tc>
      </w:tr>
      <w:tr>
        <w:tc>
          <w:tcPr>
            <w:tcW w:type="dxa" w:w="3400"/>
            <w:shd w:fill="F7F2F3" w:val="clear"/>
          </w:tcPr>
          <w:p>
            <w:r/>
            <w:r>
              <w:rPr>
                <w:rFonts w:ascii="Calibri" w:hAnsi="Calibri" w:eastAsia="Calibri"/>
                <w:b w:val="0"/>
                <w:color w:val="1A1A1A"/>
                <w:sz w:val="18"/>
              </w:rPr>
              <w:t>Crimson Quantum Valuation</w:t>
            </w:r>
          </w:p>
        </w:tc>
        <w:tc>
          <w:tcPr>
            <w:tcW w:type="dxa" w:w="3400"/>
            <w:shd w:fill="F7F2F3" w:val="clear"/>
          </w:tcPr>
          <w:p>
            <w:r/>
            <w:r>
              <w:rPr>
                <w:rFonts w:ascii="Calibri" w:hAnsi="Calibri" w:eastAsia="Calibri"/>
                <w:b w:val="0"/>
                <w:color w:val="1A1A1A"/>
                <w:sz w:val="18"/>
              </w:rPr>
              <w:t>The written report: numbers, documents, blanks, instructed assumptions, named cases.</w:t>
            </w:r>
          </w:p>
        </w:tc>
        <w:tc>
          <w:tcPr>
            <w:tcW w:type="dxa" w:w="3400"/>
            <w:shd w:fill="F7F2F3" w:val="clear"/>
          </w:tcPr>
          <w:p>
            <w:r/>
            <w:r>
              <w:rPr>
                <w:rFonts w:ascii="Calibri" w:hAnsi="Calibri" w:eastAsia="Calibri"/>
                <w:b w:val="0"/>
                <w:color w:val="1A1A1A"/>
                <w:sz w:val="18"/>
              </w:rPr>
              <w:t>Not a CPR expert report. Not advice on whether to sue.</w:t>
            </w:r>
          </w:p>
        </w:tc>
      </w:tr>
    </w:tbl>
    <w:p/>
    <w:p>
      <w:pPr>
        <w:pStyle w:val="Heading1"/>
      </w:pPr>
      <w:r>
        <w:rPr>
          <w:rFonts w:ascii="Calibri" w:hAnsi="Calibri"/>
          <w:color w:val="7A1F2B"/>
        </w:rPr>
        <w:t>3. Documents for one case</w:t>
      </w:r>
    </w:p>
    <w:p>
      <w:pPr>
        <w:spacing w:after="160"/>
      </w:pPr>
      <w:r>
        <w:rPr>
          <w:rFonts w:ascii="Calibri" w:hAnsi="Calibri" w:eastAsia="Calibri"/>
          <w:b w:val="0"/>
          <w:i w:val="0"/>
          <w:color w:val="1A1A1A"/>
          <w:sz w:val="22"/>
        </w:rPr>
        <w:t>A case folder should contain only that claimant’s energy matter. “Crucial” means Method 1 or Method 2 cannot be finished without it, or without a written solicitor assumption.</w:t>
      </w:r>
    </w:p>
    <w:tbl>
      <w:tblPr>
        <w:tblStyle w:val="TableGrid"/>
        <w:tblW w:type="auto" w:w="0"/>
        <w:tblLook w:firstColumn="1" w:firstRow="1" w:lastColumn="0" w:lastRow="0" w:noHBand="0" w:noVBand="1" w:val="04A0"/>
      </w:tblPr>
      <w:tblGrid>
        <w:gridCol w:w="3400"/>
        <w:gridCol w:w="3400"/>
        <w:gridCol w:w="3400"/>
      </w:tblGrid>
      <w:tr>
        <w:tc>
          <w:tcPr>
            <w:tcW w:type="dxa" w:w="3400"/>
            <w:shd w:fill="7A1F2B" w:val="clear"/>
          </w:tcPr>
          <w:p>
            <w:r/>
            <w:r>
              <w:rPr>
                <w:rFonts w:ascii="Calibri" w:hAnsi="Calibri" w:eastAsia="Calibri"/>
                <w:b/>
                <w:color w:val="FFFFFF"/>
                <w:sz w:val="20"/>
              </w:rPr>
              <w:t>Document</w:t>
            </w:r>
          </w:p>
        </w:tc>
        <w:tc>
          <w:tcPr>
            <w:tcW w:type="dxa" w:w="3400"/>
            <w:shd w:fill="7A1F2B" w:val="clear"/>
          </w:tcPr>
          <w:p>
            <w:r/>
            <w:r>
              <w:rPr>
                <w:rFonts w:ascii="Calibri" w:hAnsi="Calibri" w:eastAsia="Calibri"/>
                <w:b/>
                <w:color w:val="FFFFFF"/>
                <w:sz w:val="20"/>
              </w:rPr>
              <w:t>Need</w:t>
            </w:r>
          </w:p>
        </w:tc>
        <w:tc>
          <w:tcPr>
            <w:tcW w:type="dxa" w:w="3400"/>
            <w:shd w:fill="7A1F2B" w:val="clear"/>
          </w:tcPr>
          <w:p>
            <w:r/>
            <w:r>
              <w:rPr>
                <w:rFonts w:ascii="Calibri" w:hAnsi="Calibri" w:eastAsia="Calibri"/>
                <w:b/>
                <w:color w:val="FFFFFF"/>
                <w:sz w:val="20"/>
              </w:rPr>
              <w:t>What job it does</w:t>
            </w:r>
          </w:p>
        </w:tc>
      </w:tr>
      <w:tr>
        <w:tc>
          <w:tcPr>
            <w:tcW w:type="dxa" w:w="3400"/>
            <w:shd w:fill="FFFFFF" w:val="clear"/>
          </w:tcPr>
          <w:p>
            <w:r/>
            <w:r>
              <w:rPr>
                <w:rFonts w:ascii="Calibri" w:hAnsi="Calibri" w:eastAsia="Calibri"/>
                <w:b w:val="0"/>
                <w:color w:val="1A1A1A"/>
                <w:sz w:val="18"/>
              </w:rPr>
              <w:t>Signed supply contract or award / welcome schedule</w:t>
            </w:r>
          </w:p>
        </w:tc>
        <w:tc>
          <w:tcPr>
            <w:tcW w:type="dxa" w:w="3400"/>
            <w:shd w:fill="FFFFFF" w:val="clear"/>
          </w:tcPr>
          <w:p>
            <w:r/>
            <w:r>
              <w:rPr>
                <w:rFonts w:ascii="Calibri" w:hAnsi="Calibri" w:eastAsia="Calibri"/>
                <w:b w:val="0"/>
                <w:color w:val="1A1A1A"/>
                <w:sz w:val="18"/>
              </w:rPr>
              <w:t>Crucial</w:t>
            </w:r>
          </w:p>
        </w:tc>
        <w:tc>
          <w:tcPr>
            <w:tcW w:type="dxa" w:w="3400"/>
            <w:shd w:fill="FFFFFF" w:val="clear"/>
          </w:tcPr>
          <w:p>
            <w:r/>
            <w:r>
              <w:rPr>
                <w:rFonts w:ascii="Calibri" w:hAnsi="Calibri" w:eastAsia="Calibri"/>
                <w:b w:val="0"/>
                <w:color w:val="1A1A1A"/>
                <w:sz w:val="18"/>
              </w:rPr>
              <w:t>Names the parties, dates, unit rates, standing charge, EAC, MPAN or MPRN, and any printed commission wording.</w:t>
            </w:r>
          </w:p>
        </w:tc>
      </w:tr>
      <w:tr>
        <w:tc>
          <w:tcPr>
            <w:tcW w:type="dxa" w:w="3400"/>
            <w:shd w:fill="F7F2F3" w:val="clear"/>
          </w:tcPr>
          <w:p>
            <w:r/>
            <w:r>
              <w:rPr>
                <w:rFonts w:ascii="Calibri" w:hAnsi="Calibri" w:eastAsia="Calibri"/>
                <w:b w:val="0"/>
                <w:color w:val="1A1A1A"/>
                <w:sz w:val="18"/>
              </w:rPr>
              <w:t>Bills covering the claimed period</w:t>
            </w:r>
          </w:p>
        </w:tc>
        <w:tc>
          <w:tcPr>
            <w:tcW w:type="dxa" w:w="3400"/>
            <w:shd w:fill="F7F2F3" w:val="clear"/>
          </w:tcPr>
          <w:p>
            <w:r/>
            <w:r>
              <w:rPr>
                <w:rFonts w:ascii="Calibri" w:hAnsi="Calibri" w:eastAsia="Calibri"/>
                <w:b w:val="0"/>
                <w:color w:val="1A1A1A"/>
                <w:sz w:val="18"/>
              </w:rPr>
              <w:t>Crucial for Method 1 on actual use</w:t>
            </w:r>
          </w:p>
        </w:tc>
        <w:tc>
          <w:tcPr>
            <w:tcW w:type="dxa" w:w="3400"/>
            <w:shd w:fill="F7F2F3" w:val="clear"/>
          </w:tcPr>
          <w:p>
            <w:r/>
            <w:r>
              <w:rPr>
                <w:rFonts w:ascii="Calibri" w:hAnsi="Calibri" w:eastAsia="Calibri"/>
                <w:b w:val="0"/>
                <w:color w:val="1A1A1A"/>
                <w:sz w:val="18"/>
              </w:rPr>
              <w:t>Give billed kWh, invoice dates (for interest), standing charges actually levied, CCL and any support schemes.</w:t>
            </w:r>
          </w:p>
        </w:tc>
      </w:tr>
      <w:tr>
        <w:tc>
          <w:tcPr>
            <w:tcW w:type="dxa" w:w="3400"/>
            <w:shd w:fill="FFFFFF" w:val="clear"/>
          </w:tcPr>
          <w:p>
            <w:r/>
            <w:r>
              <w:rPr>
                <w:rFonts w:ascii="Calibri" w:hAnsi="Calibri" w:eastAsia="Calibri"/>
                <w:b w:val="0"/>
                <w:color w:val="1A1A1A"/>
                <w:sz w:val="18"/>
              </w:rPr>
              <w:t>Letter of Authority (LOA)</w:t>
            </w:r>
          </w:p>
        </w:tc>
        <w:tc>
          <w:tcPr>
            <w:tcW w:type="dxa" w:w="3400"/>
            <w:shd w:fill="FFFFFF" w:val="clear"/>
          </w:tcPr>
          <w:p>
            <w:r/>
            <w:r>
              <w:rPr>
                <w:rFonts w:ascii="Calibri" w:hAnsi="Calibri" w:eastAsia="Calibri"/>
                <w:b w:val="0"/>
                <w:color w:val="1A1A1A"/>
                <w:sz w:val="18"/>
              </w:rPr>
              <w:t>Important if a broker was used</w:t>
            </w:r>
          </w:p>
        </w:tc>
        <w:tc>
          <w:tcPr>
            <w:tcW w:type="dxa" w:w="3400"/>
            <w:shd w:fill="FFFFFF" w:val="clear"/>
          </w:tcPr>
          <w:p>
            <w:r/>
            <w:r>
              <w:rPr>
                <w:rFonts w:ascii="Calibri" w:hAnsi="Calibri" w:eastAsia="Calibri"/>
                <w:b w:val="0"/>
                <w:color w:val="1A1A1A"/>
                <w:sz w:val="18"/>
              </w:rPr>
              <w:t>Shows who was authorised to speak to the supplier, when, and for what.</w:t>
            </w:r>
          </w:p>
        </w:tc>
      </w:tr>
      <w:tr>
        <w:tc>
          <w:tcPr>
            <w:tcW w:type="dxa" w:w="3400"/>
            <w:shd w:fill="F7F2F3" w:val="clear"/>
          </w:tcPr>
          <w:p>
            <w:r/>
            <w:r>
              <w:rPr>
                <w:rFonts w:ascii="Calibri" w:hAnsi="Calibri" w:eastAsia="Calibri"/>
                <w:b w:val="0"/>
                <w:color w:val="1A1A1A"/>
                <w:sz w:val="18"/>
              </w:rPr>
              <w:t>Broker proposal / quote / renewal email</w:t>
            </w:r>
          </w:p>
        </w:tc>
        <w:tc>
          <w:tcPr>
            <w:tcW w:type="dxa" w:w="3400"/>
            <w:shd w:fill="F7F2F3" w:val="clear"/>
          </w:tcPr>
          <w:p>
            <w:r/>
            <w:r>
              <w:rPr>
                <w:rFonts w:ascii="Calibri" w:hAnsi="Calibri" w:eastAsia="Calibri"/>
                <w:b w:val="0"/>
                <w:color w:val="1A1A1A"/>
                <w:sz w:val="18"/>
              </w:rPr>
              <w:t>Important</w:t>
            </w:r>
          </w:p>
        </w:tc>
        <w:tc>
          <w:tcPr>
            <w:tcW w:type="dxa" w:w="3400"/>
            <w:shd w:fill="F7F2F3" w:val="clear"/>
          </w:tcPr>
          <w:p>
            <w:r/>
            <w:r>
              <w:rPr>
                <w:rFonts w:ascii="Calibri" w:hAnsi="Calibri" w:eastAsia="Calibri"/>
                <w:b w:val="0"/>
                <w:color w:val="1A1A1A"/>
                <w:sz w:val="18"/>
              </w:rPr>
              <w:t>Shows what was offered, by whom, and whether commission or “paid by the supplier” language appears.</w:t>
            </w:r>
          </w:p>
        </w:tc>
      </w:tr>
      <w:tr>
        <w:tc>
          <w:tcPr>
            <w:tcW w:type="dxa" w:w="3400"/>
            <w:shd w:fill="FFFFFF" w:val="clear"/>
          </w:tcPr>
          <w:p>
            <w:r/>
            <w:r>
              <w:rPr>
                <w:rFonts w:ascii="Calibri" w:hAnsi="Calibri" w:eastAsia="Calibri"/>
                <w:b w:val="0"/>
                <w:color w:val="1A1A1A"/>
                <w:sz w:val="18"/>
              </w:rPr>
              <w:t>Supplier terms and conditions</w:t>
            </w:r>
          </w:p>
        </w:tc>
        <w:tc>
          <w:tcPr>
            <w:tcW w:type="dxa" w:w="3400"/>
            <w:shd w:fill="FFFFFF" w:val="clear"/>
          </w:tcPr>
          <w:p>
            <w:r/>
            <w:r>
              <w:rPr>
                <w:rFonts w:ascii="Calibri" w:hAnsi="Calibri" w:eastAsia="Calibri"/>
                <w:b w:val="0"/>
                <w:color w:val="1A1A1A"/>
                <w:sz w:val="18"/>
              </w:rPr>
              <w:t>Useful</w:t>
            </w:r>
          </w:p>
        </w:tc>
        <w:tc>
          <w:tcPr>
            <w:tcW w:type="dxa" w:w="3400"/>
            <w:shd w:fill="FFFFFF" w:val="clear"/>
          </w:tcPr>
          <w:p>
            <w:r/>
            <w:r>
              <w:rPr>
                <w:rFonts w:ascii="Calibri" w:hAnsi="Calibri" w:eastAsia="Calibri"/>
                <w:b w:val="0"/>
                <w:color w:val="1A1A1A"/>
                <w:sz w:val="18"/>
              </w:rPr>
              <w:t>Supports reading of termination, tolerance and charging clauses. Not a substitute for the signed rates.</w:t>
            </w:r>
          </w:p>
        </w:tc>
      </w:tr>
      <w:tr>
        <w:tc>
          <w:tcPr>
            <w:tcW w:type="dxa" w:w="3400"/>
            <w:shd w:fill="F7F2F3" w:val="clear"/>
          </w:tcPr>
          <w:p>
            <w:r/>
            <w:r>
              <w:rPr>
                <w:rFonts w:ascii="Calibri" w:hAnsi="Calibri" w:eastAsia="Calibri"/>
                <w:b w:val="0"/>
                <w:color w:val="1A1A1A"/>
                <w:sz w:val="18"/>
              </w:rPr>
              <w:t>Direct debit / payment mandate</w:t>
            </w:r>
          </w:p>
        </w:tc>
        <w:tc>
          <w:tcPr>
            <w:tcW w:type="dxa" w:w="3400"/>
            <w:shd w:fill="F7F2F3" w:val="clear"/>
          </w:tcPr>
          <w:p>
            <w:r/>
            <w:r>
              <w:rPr>
                <w:rFonts w:ascii="Calibri" w:hAnsi="Calibri" w:eastAsia="Calibri"/>
                <w:b w:val="0"/>
                <w:color w:val="1A1A1A"/>
                <w:sz w:val="18"/>
              </w:rPr>
              <w:t>Useful</w:t>
            </w:r>
          </w:p>
        </w:tc>
        <w:tc>
          <w:tcPr>
            <w:tcW w:type="dxa" w:w="3400"/>
            <w:shd w:fill="F7F2F3" w:val="clear"/>
          </w:tcPr>
          <w:p>
            <w:r/>
            <w:r>
              <w:rPr>
                <w:rFonts w:ascii="Calibri" w:hAnsi="Calibri" w:eastAsia="Calibri"/>
                <w:b w:val="0"/>
                <w:color w:val="1A1A1A"/>
                <w:sz w:val="18"/>
              </w:rPr>
              <w:t>Confirms who paid and how. Secondary to the bills.</w:t>
            </w:r>
          </w:p>
        </w:tc>
      </w:tr>
      <w:tr>
        <w:tc>
          <w:tcPr>
            <w:tcW w:type="dxa" w:w="3400"/>
            <w:shd w:fill="FFFFFF" w:val="clear"/>
          </w:tcPr>
          <w:p>
            <w:r/>
            <w:r>
              <w:rPr>
                <w:rFonts w:ascii="Calibri" w:hAnsi="Calibri" w:eastAsia="Calibri"/>
                <w:b w:val="0"/>
                <w:color w:val="1A1A1A"/>
                <w:sz w:val="18"/>
              </w:rPr>
              <w:t>Earlier valuation or screening report</w:t>
            </w:r>
          </w:p>
        </w:tc>
        <w:tc>
          <w:tcPr>
            <w:tcW w:type="dxa" w:w="3400"/>
            <w:shd w:fill="FFFFFF" w:val="clear"/>
          </w:tcPr>
          <w:p>
            <w:r/>
            <w:r>
              <w:rPr>
                <w:rFonts w:ascii="Calibri" w:hAnsi="Calibri" w:eastAsia="Calibri"/>
                <w:b w:val="0"/>
                <w:color w:val="1A1A1A"/>
                <w:sz w:val="18"/>
              </w:rPr>
              <w:t>Useful as a check</w:t>
            </w:r>
          </w:p>
        </w:tc>
        <w:tc>
          <w:tcPr>
            <w:tcW w:type="dxa" w:w="3400"/>
            <w:shd w:fill="FFFFFF" w:val="clear"/>
          </w:tcPr>
          <w:p>
            <w:r/>
            <w:r>
              <w:rPr>
                <w:rFonts w:ascii="Calibri" w:hAnsi="Calibri" w:eastAsia="Calibri"/>
                <w:b w:val="0"/>
                <w:color w:val="1A1A1A"/>
                <w:sz w:val="18"/>
              </w:rPr>
              <w:t>A previous figure is a reference, not a source of rates.</w:t>
            </w:r>
          </w:p>
        </w:tc>
      </w:tr>
      <w:tr>
        <w:tc>
          <w:tcPr>
            <w:tcW w:type="dxa" w:w="3400"/>
            <w:shd w:fill="F7F2F3" w:val="clear"/>
          </w:tcPr>
          <w:p>
            <w:r/>
            <w:r>
              <w:rPr>
                <w:rFonts w:ascii="Calibri" w:hAnsi="Calibri" w:eastAsia="Calibri"/>
                <w:b w:val="0"/>
                <w:color w:val="1A1A1A"/>
                <w:sz w:val="18"/>
              </w:rPr>
              <w:t>Counsel or solicitor opinion already obtained</w:t>
            </w:r>
          </w:p>
        </w:tc>
        <w:tc>
          <w:tcPr>
            <w:tcW w:type="dxa" w:w="3400"/>
            <w:shd w:fill="F7F2F3" w:val="clear"/>
          </w:tcPr>
          <w:p>
            <w:r/>
            <w:r>
              <w:rPr>
                <w:rFonts w:ascii="Calibri" w:hAnsi="Calibri" w:eastAsia="Calibri"/>
                <w:b w:val="0"/>
                <w:color w:val="1A1A1A"/>
                <w:sz w:val="18"/>
              </w:rPr>
              <w:t>Useful</w:t>
            </w:r>
          </w:p>
        </w:tc>
        <w:tc>
          <w:tcPr>
            <w:tcW w:type="dxa" w:w="3400"/>
            <w:shd w:fill="F7F2F3" w:val="clear"/>
          </w:tcPr>
          <w:p>
            <w:r/>
            <w:r>
              <w:rPr>
                <w:rFonts w:ascii="Calibri" w:hAnsi="Calibri" w:eastAsia="Calibri"/>
                <w:b w:val="0"/>
                <w:color w:val="1A1A1A"/>
                <w:sz w:val="18"/>
              </w:rPr>
              <w:t>May name the method and the cases. Still does not fill a blank rate unless the instruction says so.</w:t>
            </w:r>
          </w:p>
        </w:tc>
      </w:tr>
      <w:tr>
        <w:tc>
          <w:tcPr>
            <w:tcW w:type="dxa" w:w="3400"/>
            <w:shd w:fill="FFFFFF" w:val="clear"/>
          </w:tcPr>
          <w:p>
            <w:r/>
            <w:r>
              <w:rPr>
                <w:rFonts w:ascii="Calibri" w:hAnsi="Calibri" w:eastAsia="Calibri"/>
                <w:b w:val="0"/>
                <w:color w:val="1A1A1A"/>
                <w:sz w:val="18"/>
              </w:rPr>
              <w:t>Client questionnaire / statement of facts</w:t>
            </w:r>
          </w:p>
        </w:tc>
        <w:tc>
          <w:tcPr>
            <w:tcW w:type="dxa" w:w="3400"/>
            <w:shd w:fill="FFFFFF" w:val="clear"/>
          </w:tcPr>
          <w:p>
            <w:r/>
            <w:r>
              <w:rPr>
                <w:rFonts w:ascii="Calibri" w:hAnsi="Calibri" w:eastAsia="Calibri"/>
                <w:b w:val="0"/>
                <w:color w:val="1A1A1A"/>
                <w:sz w:val="18"/>
              </w:rPr>
              <w:t>Useful</w:t>
            </w:r>
          </w:p>
        </w:tc>
        <w:tc>
          <w:tcPr>
            <w:tcW w:type="dxa" w:w="3400"/>
            <w:shd w:fill="FFFFFF" w:val="clear"/>
          </w:tcPr>
          <w:p>
            <w:r/>
            <w:r>
              <w:rPr>
                <w:rFonts w:ascii="Calibri" w:hAnsi="Calibri" w:eastAsia="Calibri"/>
                <w:b w:val="0"/>
                <w:color w:val="1A1A1A"/>
                <w:sz w:val="18"/>
              </w:rPr>
              <w:t>Who signed, whether they knew of commission, micro-business status. Recorded as the client’s account, not as a rate.</w:t>
            </w:r>
          </w:p>
        </w:tc>
      </w:tr>
      <w:tr>
        <w:tc>
          <w:tcPr>
            <w:tcW w:type="dxa" w:w="3400"/>
            <w:shd w:fill="F7F2F3" w:val="clear"/>
          </w:tcPr>
          <w:p>
            <w:r/>
            <w:r>
              <w:rPr>
                <w:rFonts w:ascii="Calibri" w:hAnsi="Calibri" w:eastAsia="Calibri"/>
                <w:b w:val="0"/>
                <w:color w:val="1A1A1A"/>
                <w:sz w:val="18"/>
              </w:rPr>
              <w:t>Solicitor instruction note on assumptions</w:t>
            </w:r>
          </w:p>
        </w:tc>
        <w:tc>
          <w:tcPr>
            <w:tcW w:type="dxa" w:w="3400"/>
            <w:shd w:fill="F7F2F3" w:val="clear"/>
          </w:tcPr>
          <w:p>
            <w:r/>
            <w:r>
              <w:rPr>
                <w:rFonts w:ascii="Calibri" w:hAnsi="Calibri" w:eastAsia="Calibri"/>
                <w:b w:val="0"/>
                <w:color w:val="1A1A1A"/>
                <w:sz w:val="18"/>
              </w:rPr>
              <w:t>Crucial if any % is used</w:t>
            </w:r>
          </w:p>
        </w:tc>
        <w:tc>
          <w:tcPr>
            <w:tcW w:type="dxa" w:w="3400"/>
            <w:shd w:fill="F7F2F3" w:val="clear"/>
          </w:tcPr>
          <w:p>
            <w:r/>
            <w:r>
              <w:rPr>
                <w:rFonts w:ascii="Calibri" w:hAnsi="Calibri" w:eastAsia="Calibri"/>
                <w:b w:val="0"/>
                <w:color w:val="1A1A1A"/>
                <w:sz w:val="18"/>
              </w:rPr>
              <w:t>The only route by which a commission %, interest rate or other uplift enters the Bridge.</w:t>
            </w:r>
          </w:p>
        </w:tc>
      </w:tr>
      <w:tr>
        <w:tc>
          <w:tcPr>
            <w:tcW w:type="dxa" w:w="3400"/>
            <w:shd w:fill="FFFFFF" w:val="clear"/>
          </w:tcPr>
          <w:p>
            <w:r/>
            <w:r>
              <w:rPr>
                <w:rFonts w:ascii="Calibri" w:hAnsi="Calibri" w:eastAsia="Calibri"/>
                <w:b w:val="0"/>
                <w:color w:val="1A1A1A"/>
                <w:sz w:val="18"/>
              </w:rPr>
              <w:t>Mortgage SAR, passports, other-client files</w:t>
            </w:r>
          </w:p>
        </w:tc>
        <w:tc>
          <w:tcPr>
            <w:tcW w:type="dxa" w:w="3400"/>
            <w:shd w:fill="FFFFFF" w:val="clear"/>
          </w:tcPr>
          <w:p>
            <w:r/>
            <w:r>
              <w:rPr>
                <w:rFonts w:ascii="Calibri" w:hAnsi="Calibri" w:eastAsia="Calibri"/>
                <w:b w:val="0"/>
                <w:color w:val="1A1A1A"/>
                <w:sz w:val="18"/>
              </w:rPr>
              <w:t>Do not include</w:t>
            </w:r>
          </w:p>
        </w:tc>
        <w:tc>
          <w:tcPr>
            <w:tcW w:type="dxa" w:w="3400"/>
            <w:shd w:fill="FFFFFF" w:val="clear"/>
          </w:tcPr>
          <w:p>
            <w:r/>
            <w:r>
              <w:rPr>
                <w:rFonts w:ascii="Calibri" w:hAnsi="Calibri" w:eastAsia="Calibri"/>
                <w:b w:val="0"/>
                <w:color w:val="1A1A1A"/>
                <w:sz w:val="18"/>
              </w:rPr>
              <w:t>Extract will label them and hold them out.</w:t>
            </w:r>
          </w:p>
        </w:tc>
      </w:tr>
    </w:tbl>
    <w:p/>
    <w:p>
      <w:pPr>
        <w:pStyle w:val="Heading1"/>
      </w:pPr>
      <w:r>
        <w:rPr>
          <w:rFonts w:ascii="Calibri" w:hAnsi="Calibri"/>
          <w:color w:val="7A1F2B"/>
        </w:rPr>
        <w:t>4. AppleDouble files</w:t>
      </w:r>
    </w:p>
    <w:p>
      <w:pPr>
        <w:spacing w:after="160"/>
      </w:pPr>
      <w:r>
        <w:rPr>
          <w:rFonts w:ascii="Calibri" w:hAnsi="Calibri" w:eastAsia="Calibri"/>
          <w:b w:val="0"/>
          <w:i w:val="0"/>
          <w:color w:val="1A1A1A"/>
          <w:sz w:val="22"/>
        </w:rPr>
        <w:t>When a Mac copies files onto a USB stick or into a zip, it often creates a second tiny file whose name starts with ._ (for example ._EON 1.pdf). That sidecar is not the document. It is a small macOS bookmark, usually about 174–230 bytes. Excel and PDF tools cannot read a contract from it. If only the ._ file is sent, the real workbook or PDF never arrived. Extract discards these and lists them as discarded.</w:t>
      </w:r>
    </w:p>
    <w:p>
      <w:pPr>
        <w:spacing w:after="160"/>
      </w:pPr>
      <w:r>
        <w:rPr>
          <w:rFonts w:ascii="Calibri" w:hAnsi="Calibri" w:eastAsia="Calibri"/>
          <w:b/>
          <w:i w:val="0"/>
          <w:color w:val="1A1A1A"/>
          <w:sz w:val="22"/>
        </w:rPr>
        <w:t>Send the file that does not start with ._</w:t>
      </w:r>
    </w:p>
    <w:p>
      <w:pPr>
        <w:pStyle w:val="Heading1"/>
      </w:pPr>
      <w:r>
        <w:rPr>
          <w:rFonts w:ascii="Calibri" w:hAnsi="Calibri"/>
          <w:color w:val="7A1F2B"/>
        </w:rPr>
        <w:t>5. Solicitor-instructed assumptions</w:t>
      </w:r>
    </w:p>
    <w:p>
      <w:pPr>
        <w:spacing w:after="160"/>
      </w:pPr>
      <w:r>
        <w:rPr>
          <w:rFonts w:ascii="Calibri" w:hAnsi="Calibri" w:eastAsia="Calibri"/>
          <w:b w:val="0"/>
          <w:i w:val="0"/>
          <w:color w:val="1A1A1A"/>
          <w:sz w:val="22"/>
        </w:rPr>
        <w:t>Default: the Agent does not invent a commission, a fair-rate uplift, or an interest rate.</w:t>
      </w:r>
    </w:p>
    <w:p>
      <w:pPr>
        <w:spacing w:after="160"/>
      </w:pPr>
      <w:r>
        <w:rPr>
          <w:rFonts w:ascii="Calibri" w:hAnsi="Calibri" w:eastAsia="Calibri"/>
          <w:b w:val="0"/>
          <w:i w:val="0"/>
          <w:color w:val="1A1A1A"/>
          <w:sz w:val="22"/>
        </w:rPr>
        <w:t>If the solicitor wants a quantum using a stated percentage, Crimson follows that instruction when three things exist: a written formal note; the exact figure, the method it applies to, and the case; and a visible notation in the Bridge and the report, next to the number, that this is an instructed assumption, not a fact taken from the contract.</w:t>
      </w:r>
    </w:p>
    <w:p>
      <w:pPr>
        <w:spacing w:after="160"/>
      </w:pPr>
      <w:r>
        <w:rPr>
          <w:rFonts w:ascii="Calibri" w:hAnsi="Calibri" w:eastAsia="Calibri"/>
          <w:b w:val="0"/>
          <w:i w:val="0"/>
          <w:color w:val="1A1A1A"/>
          <w:sz w:val="22"/>
        </w:rPr>
        <w:t>The same pattern is used for every assumption, not only commission.</w:t>
      </w:r>
    </w:p>
    <w:p>
      <w:pPr>
        <w:spacing w:after="160"/>
      </w:pPr>
      <w:r>
        <w:rPr>
          <w:rFonts w:ascii="Calibri" w:hAnsi="Calibri" w:eastAsia="Calibri"/>
          <w:b w:val="0"/>
          <w:i w:val="0"/>
          <w:color w:val="1A1A1A"/>
          <w:sz w:val="22"/>
        </w:rPr>
        <w:t>Commission example: “Commission at 12% of estimated contract value is entered solely on the written instruction of [firm], note dated [date], file [name]. It is not taken from the supply contract. If that instruction is withdrawn, this figure is removed.”</w:t>
      </w:r>
    </w:p>
    <w:p>
      <w:pPr>
        <w:spacing w:after="160"/>
      </w:pPr>
      <w:r>
        <w:rPr>
          <w:rFonts w:ascii="Calibri" w:hAnsi="Calibri" w:eastAsia="Calibri"/>
          <w:b w:val="0"/>
          <w:i w:val="0"/>
          <w:color w:val="1A1A1A"/>
          <w:sz w:val="22"/>
        </w:rPr>
        <w:t>Interest example: “Interest at 8% simple from each invoice date to the assessment date is applied solely on the written instruction of [solicitor], note dated [date].”</w:t>
      </w:r>
    </w:p>
    <w:p>
      <w:pPr>
        <w:pStyle w:val="Heading1"/>
      </w:pPr>
      <w:r>
        <w:rPr>
          <w:rFonts w:ascii="Calibri" w:hAnsi="Calibri"/>
          <w:color w:val="7A1F2B"/>
        </w:rPr>
        <w:t>6. One case now; many desks later</w:t>
      </w:r>
    </w:p>
    <w:p>
      <w:pPr>
        <w:spacing w:after="160"/>
      </w:pPr>
      <w:r>
        <w:rPr>
          <w:rFonts w:ascii="Calibri" w:hAnsi="Calibri" w:eastAsia="Calibri"/>
          <w:b w:val="0"/>
          <w:i w:val="0"/>
          <w:color w:val="1A1A1A"/>
          <w:sz w:val="22"/>
        </w:rPr>
        <w:t>One case per run is the production path. That is how rogue documents are caught. A folder that contains two clients is two cases, not one batch.</w:t>
      </w:r>
    </w:p>
    <w:p>
      <w:pPr>
        <w:spacing w:after="160"/>
      </w:pPr>
      <w:r>
        <w:rPr>
          <w:rFonts w:ascii="Calibri" w:hAnsi="Calibri" w:eastAsia="Calibri"/>
          <w:b w:val="0"/>
          <w:i w:val="0"/>
          <w:color w:val="1A1A1A"/>
          <w:sz w:val="22"/>
        </w:rPr>
        <w:t>Large volumes are handled by repeating one-case, not by pouring 20 mixed piles into one hopper. Five stand-alone machines, each with its own licensed Agent, each running one case, is the way to get toward 30 in an hour. A later upgrade can queue 20 separate folders. That is not the same as one folder containing 20 clients.</w:t>
      </w:r>
    </w:p>
    <w:p>
      <w:pPr>
        <w:pStyle w:val="Heading1"/>
      </w:pPr>
      <w:r>
        <w:rPr>
          <w:rFonts w:ascii="Calibri" w:hAnsi="Calibri"/>
          <w:color w:val="7A1F2B"/>
        </w:rPr>
        <w:t>7. Accuracy, fail-safes and checks</w:t>
      </w:r>
    </w:p>
    <w:p>
      <w:pPr>
        <w:spacing w:after="160"/>
      </w:pPr>
      <w:r>
        <w:rPr>
          <w:rFonts w:ascii="Calibri" w:hAnsi="Calibri" w:eastAsia="Calibri"/>
          <w:b w:val="0"/>
          <w:i w:val="0"/>
          <w:color w:val="1A1A1A"/>
          <w:sz w:val="22"/>
        </w:rPr>
        <w:t>Already there: classifier; mortgage held out; ._ discarded; no default 15% or 40%; review flag; blanks and actions; document schedule; Method 1 allowed to be nil.</w:t>
      </w:r>
    </w:p>
    <w:p>
      <w:pPr>
        <w:spacing w:after="160"/>
      </w:pPr>
      <w:r>
        <w:rPr>
          <w:rFonts w:ascii="Calibri" w:hAnsi="Calibri" w:eastAsia="Calibri"/>
          <w:b w:val="0"/>
          <w:i w:val="0"/>
          <w:color w:val="1A1A1A"/>
          <w:sz w:val="22"/>
        </w:rPr>
        <w:t>To code into single-case: case lock (folder belongs to one ID); file fingerprint; four-eyes tick before Calculator; assumption gate (no naked % without note date, author and file); imputed-bill mark; kWh versus EAC sense check; MPAN format and duplicate check; report will not print Method 2 if commission is blank and there is no note; run log; optional re-extract; offline mode.</w:t>
      </w:r>
    </w:p>
    <w:p>
      <w:pPr>
        <w:spacing w:after="160"/>
      </w:pPr>
      <w:r>
        <w:rPr>
          <w:rFonts w:ascii="Calibri" w:hAnsi="Calibri" w:eastAsia="Calibri"/>
          <w:b w:val="0"/>
          <w:i w:val="0"/>
          <w:color w:val="1A1A1A"/>
          <w:sz w:val="22"/>
        </w:rPr>
        <w:t>A number does not leave draft unless the page, the Bridge, the instruction note and the human tick all agree.</w:t>
      </w:r>
    </w:p>
    <w:p>
      <w:pPr>
        <w:pStyle w:val="Heading1"/>
      </w:pPr>
      <w:r>
        <w:rPr>
          <w:rFonts w:ascii="Calibri" w:hAnsi="Calibri"/>
          <w:color w:val="7A1F2B"/>
        </w:rPr>
        <w:t>8. Branding and lock-down</w:t>
      </w:r>
    </w:p>
    <w:p>
      <w:pPr>
        <w:spacing w:after="160"/>
      </w:pPr>
      <w:r>
        <w:rPr>
          <w:rFonts w:ascii="Calibri" w:hAnsi="Calibri" w:eastAsia="Calibri"/>
          <w:b w:val="0"/>
          <w:i w:val="0"/>
          <w:color w:val="1A1A1A"/>
          <w:sz w:val="22"/>
        </w:rPr>
        <w:t>Each sold system can carry the buyer’s name on Extract, Bridge and report. The engine stays Crimson so support stays one lineage.</w:t>
      </w:r>
    </w:p>
    <w:p>
      <w:pPr>
        <w:spacing w:after="160"/>
      </w:pPr>
      <w:r>
        <w:rPr>
          <w:rFonts w:ascii="Calibri" w:hAnsi="Calibri" w:eastAsia="Calibri"/>
          <w:b w:val="0"/>
          <w:i w:val="0"/>
          <w:color w:val="1A1A1A"/>
          <w:sz w:val="22"/>
        </w:rPr>
        <w:t>Reasonable lock-down: operator login; workbook open/modify passwords; licence key on that PC; draft watermark; no source code in the operator install; licence name burned into outputs.</w:t>
      </w:r>
    </w:p>
    <w:p>
      <w:pPr>
        <w:spacing w:after="160"/>
      </w:pPr>
      <w:r>
        <w:rPr>
          <w:rFonts w:ascii="Calibri" w:hAnsi="Calibri" w:eastAsia="Calibri"/>
          <w:b w:val="0"/>
          <w:i w:val="0"/>
          <w:color w:val="1A1A1A"/>
          <w:sz w:val="22"/>
        </w:rPr>
        <w:t>Do not promise “unhackable”. A determined copyist with the machine can copy anything. What can be sold honestly is: named, logged, hard to share casually, easy to revoke.</w:t>
      </w:r>
    </w:p>
    <w:p>
      <w:pPr>
        <w:pStyle w:val="Heading1"/>
      </w:pPr>
      <w:r>
        <w:rPr>
          <w:rFonts w:ascii="Calibri" w:hAnsi="Calibri"/>
          <w:color w:val="7A1F2B"/>
        </w:rPr>
        <w:t>9. Price for one system (suggestion, not a quote)</w:t>
      </w:r>
    </w:p>
    <w:p>
      <w:pPr>
        <w:spacing w:after="160"/>
      </w:pPr>
      <w:r>
        <w:rPr>
          <w:rFonts w:ascii="Calibri" w:hAnsi="Calibri" w:eastAsia="Calibri"/>
          <w:b w:val="0"/>
          <w:i w:val="0"/>
          <w:color w:val="1A1A1A"/>
          <w:sz w:val="22"/>
        </w:rPr>
        <w:t>Single PC: £18,000–£28,000 year one, then £6,000–£9,000 a year.</w:t>
      </w:r>
    </w:p>
    <w:p>
      <w:pPr>
        <w:spacing w:after="160"/>
      </w:pPr>
      <w:r>
        <w:rPr>
          <w:rFonts w:ascii="Calibri" w:hAnsi="Calibri" w:eastAsia="Calibri"/>
          <w:b w:val="0"/>
          <w:i w:val="0"/>
          <w:color w:val="1A1A1A"/>
          <w:sz w:val="22"/>
        </w:rPr>
        <w:t>Five-PC pod: £55,000–£75,000 year one, then £18,000–£25,000 a year.</w:t>
      </w:r>
    </w:p>
    <w:p>
      <w:pPr>
        <w:spacing w:after="160"/>
      </w:pPr>
      <w:r>
        <w:rPr>
          <w:rFonts w:ascii="Calibri" w:hAnsi="Calibri" w:eastAsia="Calibri"/>
          <w:b w:val="0"/>
          <w:i w:val="0"/>
          <w:color w:val="1A1A1A"/>
          <w:sz w:val="22"/>
        </w:rPr>
        <w:t>Optional per accepted Bridge: £75–£150 (drafts that fail the output lock are not charged).</w:t>
      </w:r>
    </w:p>
    <w:p>
      <w:pPr>
        <w:spacing w:after="160"/>
      </w:pPr>
      <w:r>
        <w:rPr>
          <w:rFonts w:ascii="Calibri" w:hAnsi="Calibri" w:eastAsia="Calibri"/>
          <w:b w:val="0"/>
          <w:i w:val="0"/>
          <w:color w:val="1A1A1A"/>
          <w:sz w:val="22"/>
        </w:rPr>
        <w:t>White-label extra: £4,000–£8,000 once.</w:t>
      </w:r>
    </w:p>
    <w:p>
      <w:pPr>
        <w:spacing w:after="160"/>
      </w:pPr>
      <w:r>
        <w:rPr>
          <w:rFonts w:ascii="Calibri" w:hAnsi="Calibri" w:eastAsia="Calibri"/>
          <w:b w:val="0"/>
          <w:i w:val="0"/>
          <w:color w:val="1A1A1A"/>
          <w:sz w:val="22"/>
        </w:rPr>
        <w:t>That band is set so one avoided wrong file, or time saved across a few hundred files, pays for the seat — without pricing a first version so high that the five-desk rollout stalls.</w:t>
      </w:r>
    </w:p>
    <w:p>
      <w:pPr>
        <w:pStyle w:val="Heading1"/>
      </w:pPr>
      <w:r>
        <w:rPr>
          <w:rFonts w:ascii="Calibri" w:hAnsi="Calibri"/>
          <w:color w:val="7A1F2B"/>
        </w:rPr>
        <w:t>10. The line to sell</w:t>
      </w:r>
    </w:p>
    <w:p>
      <w:pPr>
        <w:spacing w:after="160"/>
      </w:pPr>
      <w:r>
        <w:rPr>
          <w:rFonts w:ascii="Calibri" w:hAnsi="Calibri" w:eastAsia="Calibri"/>
          <w:b w:val="0"/>
          <w:i w:val="0"/>
          <w:color w:val="1A1A1A"/>
          <w:sz w:val="22"/>
        </w:rPr>
        <w:t>Crimson does not replace the solicitor. It replaces the quiet, expensive muddle between the PDF pile and the number on page one. It will refuse to be more certain than the papers. That refusal is the product.</w:t>
      </w:r>
    </w:p>
    <w:sectPr w:rsidR="00FC693F" w:rsidRPr="0006063C" w:rsidSect="00034616">
      <w:headerReference w:type="default" r:id="rId9"/>
      <w:footerReference w:type="default" r:id="rId10"/>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color w:val="4A4A4A"/>
        <w:sz w:val="16"/>
      </w:rPr>
      <w:t>Confidential commercial pack  ·  Not legal advice  ·  One-case first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jc w:val="right"/>
    </w:pPr>
    <w:r>
      <w:rPr>
        <w:rFonts w:ascii="Calibri" w:hAnsi="Calibri" w:eastAsia="Calibri"/>
        <w:b/>
        <w:color w:val="7A1F2B"/>
        <w:sz w:val="18"/>
      </w:rPr>
      <w:t>CRIMSON  ·  Business Energy Claim Operating System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