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0"/>
      </w:pPr>
      <w:r>
        <w:rPr>
          <w:rFonts w:ascii="Calibri" w:hAnsi="Calibri" w:eastAsia="Calibri"/>
          <w:b/>
          <w:i w:val="0"/>
          <w:color w:val="7A1F2B"/>
          <w:sz w:val="24"/>
        </w:rPr>
        <w:t>CRIMSON HORSE</w:t>
      </w:r>
    </w:p>
    <w:p>
      <w:r>
        <w:rPr>
          <w:rFonts w:ascii="Calibri" w:hAnsi="Calibri" w:eastAsia="Calibri"/>
          <w:b/>
          <w:i w:val="0"/>
          <w:color w:val="7A1F2B"/>
          <w:sz w:val="44"/>
        </w:rPr>
        <w:t>Pricing suggestions</w:t>
      </w:r>
    </w:p>
    <w:p>
      <w:r>
        <w:rPr>
          <w:rFonts w:ascii="Calibri" w:hAnsi="Calibri" w:eastAsia="Calibri"/>
          <w:b w:val="0"/>
          <w:i w:val="0"/>
          <w:color w:val="4A4A4A"/>
          <w:sz w:val="24"/>
        </w:rPr>
        <w:t>Seats, pods, Screen, and a branded client name on the report</w:t>
      </w:r>
    </w:p>
    <w:p>
      <w:pPr>
        <w:pStyle w:val="Heading1"/>
      </w:pPr>
      <w:r>
        <w:rPr>
          <w:rFonts w:ascii="Calibri" w:hAnsi="Calibri"/>
          <w:color w:val="7A1F2B"/>
        </w:rPr>
        <w:t>This is a suggestion, not a quote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The buyer is a solicitor firm or a lead provider that already spends analyst time on each file. A checked energy quantum on a stand-alone PC is the unit of value.</w:t>
      </w:r>
    </w:p>
    <w:p>
      <w:pPr>
        <w:pStyle w:val="Heading1"/>
      </w:pPr>
      <w:r>
        <w:rPr>
          <w:rFonts w:ascii="Calibri" w:hAnsi="Calibri"/>
          <w:color w:val="7A1F2B"/>
        </w:rPr>
        <w:t>Suggested bands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2"/>
        <w:gridCol w:w="3362"/>
        <w:gridCol w:w="3362"/>
      </w:tblGrid>
      <w:tr>
        <w:tc>
          <w:tcPr>
            <w:tcW w:type="dxa" w:w="3362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Model</w:t>
            </w:r>
          </w:p>
        </w:tc>
        <w:tc>
          <w:tcPr>
            <w:tcW w:type="dxa" w:w="3362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Suggested range</w:t>
            </w:r>
          </w:p>
        </w:tc>
        <w:tc>
          <w:tcPr>
            <w:tcW w:type="dxa" w:w="3362"/>
            <w:shd w:fill="7A1F2B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/>
                <w:i w:val="0"/>
                <w:color w:val="FFFFFF"/>
                <w:sz w:val="20"/>
              </w:rPr>
              <w:t>What they get</w:t>
            </w:r>
          </w:p>
        </w:tc>
      </w:tr>
      <w:tr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Single-seat licence (one PC)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£18,000–£28,000 year one, then £6,000–£9,000 a year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Extract, Bridge, Calculator, report templates, one week of set-up, weekly log.</w:t>
            </w:r>
          </w:p>
        </w:tc>
      </w:tr>
      <w:tr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Five-seat pod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£55,000–£75,000 year one, then £18,000–£25,000 a year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Five locked installs, shared assumption protocol, central run-log format, priority layout updates.</w:t>
            </w:r>
          </w:p>
        </w:tc>
      </w:tr>
      <w:tr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Per accepted Bridge (optional extra)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£75–£150, or a monthly cap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Drafts that fail the output lock are not charged.</w:t>
            </w:r>
          </w:p>
        </w:tc>
      </w:tr>
      <w:tr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White-label extra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£4,000–£8,000 one-off</w:t>
            </w:r>
          </w:p>
        </w:tc>
        <w:tc>
          <w:tcPr>
            <w:tcW w:type="dxa" w:w="3362"/>
            <w:shd w:fill="F7F2F3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Buyer’s name and colours on Extract, Bridge and report. Engine remains Crimson.</w:t>
            </w:r>
          </w:p>
        </w:tc>
      </w:tr>
      <w:tr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Crimson Screen, sold on its own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£6,000–£10,000 a year per seat, or £25–£40 per screening</w:t>
            </w:r>
          </w:p>
        </w:tc>
        <w:tc>
          <w:tcPr>
            <w:tcW w:type="dxa" w:w="3362"/>
            <w:shd w:fill="FFFFFF" w:val="clear"/>
          </w:tcPr>
          <w:p>
            <w:pPr>
              <w:spacing w:after="40" w:before="40"/>
            </w:pPr>
            <w:r/>
            <w:r>
              <w:rPr>
                <w:rFonts w:ascii="Calibri" w:hAnsi="Calibri" w:eastAsia="Calibri"/>
                <w:b w:val="0"/>
                <w:i w:val="0"/>
                <w:color w:val="1A1A1A"/>
                <w:sz w:val="18"/>
              </w:rPr>
              <w:t>Yes/no look for lead providers before they submit.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7A1F2B"/>
        </w:rPr>
        <w:t>What the branded report amendment includes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Client name on the cover, header and footer.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Client colour on table headers.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Licence holder line on the Bridge summary.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Filename prefix in the client’s short name.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A sample branded intake report and a sample branded valuation cover for sign-off before go-live.</w:t>
      </w:r>
    </w:p>
    <w:p>
      <w:pPr>
        <w:pStyle w:val="Heading1"/>
      </w:pPr>
      <w:r>
        <w:rPr>
          <w:rFonts w:ascii="Calibri" w:hAnsi="Calibri"/>
          <w:color w:val="7A1F2B"/>
        </w:rPr>
        <w:t>Why this band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One avoided wrong-quantum file, or a few hours saved on each of a few hundred files, pays for a seat. Pricing below £10,000 a seat under-sells the risk taken out of the file. Pricing above £40,000 a seat for a first version will slow the first five-desk rollout. Review after 90 days of live one-case use.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74" w:right="1077" w:bottom="1020" w:left="1077" w:header="28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Calibri" w:hAnsi="Calibri" w:eastAsia="Calibri"/>
        <w:b w:val="0"/>
        <w:i w:val="0"/>
        <w:color w:val="4A4A4A"/>
        <w:sz w:val="16"/>
      </w:rPr>
      <w:t>For sales and managing partners  ·  18 August 2026  ·  Not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Calibri" w:hAnsi="Calibri" w:eastAsia="Calibri"/>
        <w:b/>
        <w:i w:val="0"/>
        <w:color w:val="7A1F2B"/>
        <w:sz w:val="18"/>
      </w:rPr>
      <w:t xml:space="preserve">    CRIMSON HORSE  ·  rollout note</w:t>
    </w:r>
    <w:r>
      <w:drawing>
        <wp:inline xmlns:a="http://schemas.openxmlformats.org/drawingml/2006/main" xmlns:pic="http://schemas.openxmlformats.org/drawingml/2006/picture">
          <wp:extent cx="335101" cy="50292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5101" cy="502920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