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80"/>
      </w:pPr>
      <w:r>
        <w:rPr>
          <w:rFonts w:ascii="Calibri" w:hAnsi="Calibri" w:eastAsia="Calibri"/>
          <w:b/>
          <w:i w:val="0"/>
          <w:color w:val="7A1F2B"/>
          <w:sz w:val="24"/>
        </w:rPr>
        <w:t>CRIMSON HORSE</w:t>
      </w:r>
    </w:p>
    <w:p>
      <w:r>
        <w:rPr>
          <w:rFonts w:ascii="Calibri" w:hAnsi="Calibri" w:eastAsia="Calibri"/>
          <w:b/>
          <w:i w:val="0"/>
          <w:color w:val="7A1F2B"/>
          <w:sz w:val="44"/>
        </w:rPr>
        <w:t>The post-upload intake report</w:t>
      </w:r>
    </w:p>
    <w:p>
      <w:r>
        <w:rPr>
          <w:rFonts w:ascii="Calibri" w:hAnsi="Calibri" w:eastAsia="Calibri"/>
          <w:b w:val="0"/>
          <w:i w:val="0"/>
          <w:color w:val="4A4A4A"/>
          <w:sz w:val="24"/>
        </w:rPr>
        <w:t>What arrived, how many pages, and what is still missing</w:t>
      </w:r>
    </w:p>
    <w:p>
      <w:pPr>
        <w:pStyle w:val="Heading1"/>
      </w:pPr>
      <w:r>
        <w:rPr>
          <w:rFonts w:ascii="Calibri" w:hAnsi="Calibri"/>
          <w:color w:val="7A1F2B"/>
        </w:rPr>
        <w:t>Status</w:t>
      </w:r>
    </w:p>
    <w:p>
      <w:pPr>
        <w:spacing w:after="160"/>
      </w:pPr>
      <w:r>
        <w:rPr>
          <w:rFonts w:ascii="Calibri" w:hAnsi="Calibri" w:eastAsia="Calibri"/>
          <w:b w:val="0"/>
          <w:i w:val="0"/>
          <w:color w:val="1A1A1A"/>
          <w:sz w:val="22"/>
        </w:rPr>
        <w:t>This report is now written automatically after every one-case run. It is not a quantum. It is a count of the papers and a list of gaps.</w:t>
      </w:r>
    </w:p>
    <w:p>
      <w:pPr>
        <w:pStyle w:val="Heading1"/>
      </w:pPr>
      <w:r>
        <w:rPr>
          <w:rFonts w:ascii="Calibri" w:hAnsi="Calibri"/>
          <w:color w:val="7A1F2B"/>
        </w:rPr>
        <w:t>What it contains</w:t>
      </w:r>
    </w:p>
    <w:p>
      <w:pPr>
        <w:pStyle w:val="ListBullet"/>
        <w:spacing w:after="60"/>
      </w:pPr>
      <w:r>
        <w:rPr>
          <w:rFonts w:ascii="Calibri" w:hAnsi="Calibri" w:eastAsia="Calibri"/>
          <w:b w:val="0"/>
          <w:i w:val="0"/>
          <w:color w:val="1A1A1A"/>
          <w:sz w:val="22"/>
        </w:rPr>
        <w:t>Case ID, date and time, and the brand line.</w:t>
      </w:r>
    </w:p>
    <w:p>
      <w:pPr>
        <w:pStyle w:val="ListBullet"/>
        <w:spacing w:after="60"/>
      </w:pPr>
      <w:r>
        <w:rPr>
          <w:rFonts w:ascii="Calibri" w:hAnsi="Calibri" w:eastAsia="Calibri"/>
          <w:b w:val="0"/>
          <w:i w:val="0"/>
          <w:color w:val="1A1A1A"/>
          <w:sz w:val="22"/>
        </w:rPr>
        <w:t>How many supported files arrived.</w:t>
      </w:r>
    </w:p>
    <w:p>
      <w:pPr>
        <w:pStyle w:val="ListBullet"/>
        <w:spacing w:after="60"/>
      </w:pPr>
      <w:r>
        <w:rPr>
          <w:rFonts w:ascii="Calibri" w:hAnsi="Calibri" w:eastAsia="Calibri"/>
          <w:b w:val="0"/>
          <w:i w:val="0"/>
          <w:color w:val="1A1A1A"/>
          <w:sz w:val="22"/>
        </w:rPr>
        <w:t>How many were energy contracts, bills, letters of authority, quotes, emails, earlier reports.</w:t>
      </w:r>
    </w:p>
    <w:p>
      <w:pPr>
        <w:pStyle w:val="ListBullet"/>
        <w:spacing w:after="60"/>
      </w:pPr>
      <w:r>
        <w:rPr>
          <w:rFonts w:ascii="Calibri" w:hAnsi="Calibri" w:eastAsia="Calibri"/>
          <w:b w:val="0"/>
          <w:i w:val="0"/>
          <w:color w:val="1A1A1A"/>
          <w:sz w:val="22"/>
        </w:rPr>
        <w:t>How many mortgage files were held out.</w:t>
      </w:r>
    </w:p>
    <w:p>
      <w:pPr>
        <w:pStyle w:val="ListBullet"/>
        <w:spacing w:after="60"/>
      </w:pPr>
      <w:r>
        <w:rPr>
          <w:rFonts w:ascii="Calibri" w:hAnsi="Calibri" w:eastAsia="Calibri"/>
          <w:b w:val="0"/>
          <w:i w:val="0"/>
          <w:color w:val="1A1A1A"/>
          <w:sz w:val="22"/>
        </w:rPr>
        <w:t>How many AppleDouble or junk files were discarded.</w:t>
      </w:r>
    </w:p>
    <w:p>
      <w:pPr>
        <w:pStyle w:val="ListBullet"/>
        <w:spacing w:after="60"/>
      </w:pPr>
      <w:r>
        <w:rPr>
          <w:rFonts w:ascii="Calibri" w:hAnsi="Calibri" w:eastAsia="Calibri"/>
          <w:b w:val="0"/>
          <w:i w:val="0"/>
          <w:color w:val="1A1A1A"/>
          <w:sz w:val="22"/>
        </w:rPr>
        <w:t>PDF page counts where the file can be read.</w:t>
      </w:r>
    </w:p>
    <w:p>
      <w:pPr>
        <w:pStyle w:val="ListBullet"/>
        <w:spacing w:after="60"/>
      </w:pPr>
      <w:r>
        <w:rPr>
          <w:rFonts w:ascii="Calibri" w:hAnsi="Calibri" w:eastAsia="Calibri"/>
          <w:b w:val="0"/>
          <w:i w:val="0"/>
          <w:color w:val="1A1A1A"/>
          <w:sz w:val="22"/>
        </w:rPr>
        <w:t>How many solicitor instructions were attached.</w:t>
      </w:r>
    </w:p>
    <w:p>
      <w:pPr>
        <w:pStyle w:val="ListBullet"/>
        <w:spacing w:after="60"/>
      </w:pPr>
      <w:r>
        <w:rPr>
          <w:rFonts w:ascii="Calibri" w:hAnsi="Calibri" w:eastAsia="Calibri"/>
          <w:b w:val="0"/>
          <w:i w:val="0"/>
          <w:color w:val="1A1A1A"/>
          <w:sz w:val="22"/>
        </w:rPr>
        <w:t>How many imputed bill rows were created (zero unless instructed).</w:t>
      </w:r>
    </w:p>
    <w:p>
      <w:pPr>
        <w:pStyle w:val="ListBullet"/>
        <w:spacing w:after="60"/>
      </w:pPr>
      <w:r>
        <w:rPr>
          <w:rFonts w:ascii="Calibri" w:hAnsi="Calibri" w:eastAsia="Calibri"/>
          <w:b w:val="0"/>
          <w:i w:val="0"/>
          <w:color w:val="1A1A1A"/>
          <w:sz w:val="22"/>
        </w:rPr>
        <w:t>A file-by-file list: name, type, stream, pages.</w:t>
      </w:r>
    </w:p>
    <w:p>
      <w:pPr>
        <w:pStyle w:val="ListBullet"/>
        <w:spacing w:after="60"/>
      </w:pPr>
      <w:r>
        <w:rPr>
          <w:rFonts w:ascii="Calibri" w:hAnsi="Calibri" w:eastAsia="Calibri"/>
          <w:b w:val="0"/>
          <w:i w:val="0"/>
          <w:color w:val="1A1A1A"/>
          <w:sz w:val="22"/>
        </w:rPr>
        <w:t>A plain list of what is still needed for a first look.</w:t>
      </w:r>
    </w:p>
    <w:p>
      <w:pPr>
        <w:pStyle w:val="Heading1"/>
      </w:pPr>
      <w:r>
        <w:rPr>
          <w:rFonts w:ascii="Calibri" w:hAnsi="Calibri"/>
          <w:color w:val="7A1F2B"/>
        </w:rPr>
        <w:t>How to use it</w:t>
      </w:r>
    </w:p>
    <w:p>
      <w:pPr>
        <w:spacing w:after="160"/>
      </w:pPr>
      <w:r>
        <w:rPr>
          <w:rFonts w:ascii="Calibri" w:hAnsi="Calibri" w:eastAsia="Calibri"/>
          <w:b w:val="0"/>
          <w:i w:val="0"/>
          <w:color w:val="1A1A1A"/>
          <w:sz w:val="22"/>
        </w:rPr>
        <w:t>Send it back to the lead provider or the solicitor the same day. It is the conversation starter: “we have the contract and twelve bills; we still need the LOA; no commission figure is on the papers.” Internally it is the first page of the case file.</w:t>
      </w:r>
    </w:p>
    <w:p>
      <w:pPr>
        <w:pStyle w:val="Heading1"/>
      </w:pPr>
      <w:r>
        <w:rPr>
          <w:rFonts w:ascii="Calibri" w:hAnsi="Calibri"/>
          <w:color w:val="7A1F2B"/>
        </w:rPr>
        <w:t>What it will not do</w:t>
      </w:r>
    </w:p>
    <w:p>
      <w:pPr>
        <w:pStyle w:val="ListBullet"/>
        <w:spacing w:after="60"/>
      </w:pPr>
      <w:r>
        <w:rPr>
          <w:rFonts w:ascii="Calibri" w:hAnsi="Calibri" w:eastAsia="Calibri"/>
          <w:b w:val="0"/>
          <w:i w:val="0"/>
          <w:color w:val="1A1A1A"/>
          <w:sz w:val="22"/>
        </w:rPr>
        <w:t>It will not estimate a claim value.</w:t>
      </w:r>
    </w:p>
    <w:p>
      <w:pPr>
        <w:pStyle w:val="ListBullet"/>
        <w:spacing w:after="60"/>
      </w:pPr>
      <w:r>
        <w:rPr>
          <w:rFonts w:ascii="Calibri" w:hAnsi="Calibri" w:eastAsia="Calibri"/>
          <w:b w:val="0"/>
          <w:i w:val="0"/>
          <w:color w:val="1A1A1A"/>
          <w:sz w:val="22"/>
        </w:rPr>
        <w:t>It will not invent a missing rate because the file count looks thin.</w:t>
      </w:r>
    </w:p>
    <w:p>
      <w:pPr>
        <w:pStyle w:val="ListBullet"/>
        <w:spacing w:after="60"/>
      </w:pPr>
      <w:r>
        <w:rPr>
          <w:rFonts w:ascii="Calibri" w:hAnsi="Calibri" w:eastAsia="Calibri"/>
          <w:b w:val="0"/>
          <w:i w:val="0"/>
          <w:color w:val="1A1A1A"/>
          <w:sz w:val="22"/>
        </w:rPr>
        <w:t>It will not treat a mortgage pack as energy papers.</w:t>
      </w:r>
    </w:p>
    <w:p>
      <w:pPr>
        <w:pStyle w:val="Heading1"/>
      </w:pPr>
      <w:r>
        <w:rPr>
          <w:rFonts w:ascii="Calibri" w:hAnsi="Calibri"/>
          <w:color w:val="7A1F2B"/>
        </w:rPr>
        <w:t>Where it is saved</w:t>
      </w:r>
    </w:p>
    <w:p>
      <w:pPr>
        <w:spacing w:after="160"/>
      </w:pPr>
      <w:r>
        <w:rPr>
          <w:rFonts w:ascii="Calibri" w:hAnsi="Calibri" w:eastAsia="Calibri"/>
          <w:b w:val="0"/>
          <w:i w:val="0"/>
          <w:color w:val="1A1A1A"/>
          <w:sz w:val="22"/>
        </w:rPr>
        <w:t>Next to the Data Bridge, named [Brand]_Intake_[CaseID]_[stamp].docx. A short version of the same counts also sits on the Batch_Summary sheet of the Bridge.</w:t>
      </w:r>
    </w:p>
    <w:sectPr w:rsidR="00FC693F" w:rsidRPr="0006063C" w:rsidSect="00034616">
      <w:headerReference w:type="default" r:id="rId9"/>
      <w:footerReference w:type="default" r:id="rId10"/>
      <w:pgSz w:w="12240" w:h="15840"/>
      <w:pgMar w:top="1474" w:right="1077" w:bottom="1020" w:left="1077" w:header="283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</w:pPr>
    <w:r>
      <w:rPr>
        <w:rFonts w:ascii="Calibri" w:hAnsi="Calibri" w:eastAsia="Calibri"/>
        <w:b w:val="0"/>
        <w:i w:val="0"/>
        <w:color w:val="4A4A4A"/>
        <w:sz w:val="16"/>
      </w:rPr>
      <w:t>For operators, lead providers and solicitors  ·  18 August 2026  ·  Not legal advice</w:t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jc w:val="left"/>
    </w:pPr>
    <w:r/>
    <w:r>
      <w:rPr>
        <w:rFonts w:ascii="Calibri" w:hAnsi="Calibri" w:eastAsia="Calibri"/>
        <w:b/>
        <w:i w:val="0"/>
        <w:color w:val="7A1F2B"/>
        <w:sz w:val="18"/>
      </w:rPr>
      <w:t xml:space="preserve">    CRIMSON HORSE  ·  rollout note</w:t>
    </w:r>
    <w:r>
      <w:drawing>
        <wp:inline xmlns:a="http://schemas.openxmlformats.org/drawingml/2006/main" xmlns:pic="http://schemas.openxmlformats.org/drawingml/2006/picture">
          <wp:extent cx="335101" cy="502920"/>
          <wp:docPr id="1" name="Picture 1"/>
          <wp:cNvGraphicFramePr>
            <a:graphicFrameLocks noChangeAspect="1"/>
          </wp:cNvGraphicFramePr>
          <a:graphic>
            <a:graphicData uri="http://schemas.openxmlformats.org/drawingml/2006/picture">
              <pic:pic>
                <pic:nvPicPr>
                  <pic:cNvPr id="0" name="image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35101" cy="502920"/>
                  </a:xfrm>
                  <a:prstGeom prst="rect"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Relationship Id="rId11" Type="http://schemas.openxmlformats.org/officeDocument/2006/relationships/image" Target="media/image1.png"/></Relationships>
</file>

<file path=word/_rels/header1.xml.rels><?xml version='1.0' encoding='UTF-8' standalone='yes'?>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