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80"/>
      </w:pPr>
      <w:r>
        <w:rPr>
          <w:rFonts w:ascii="Calibri" w:hAnsi="Calibri" w:eastAsia="Calibri"/>
          <w:b/>
          <w:i w:val="0"/>
          <w:color w:val="7A1F2B"/>
          <w:sz w:val="24"/>
        </w:rPr>
        <w:t>CRIMSON HORSE</w:t>
      </w:r>
    </w:p>
    <w:p>
      <w:r>
        <w:rPr>
          <w:rFonts w:ascii="Calibri" w:hAnsi="Calibri" w:eastAsia="Calibri"/>
          <w:b/>
          <w:i w:val="0"/>
          <w:color w:val="7A1F2B"/>
          <w:sz w:val="44"/>
        </w:rPr>
        <w:t>How one-case mode works</w:t>
      </w:r>
    </w:p>
    <w:p>
      <w:r>
        <w:rPr>
          <w:rFonts w:ascii="Calibri" w:hAnsi="Calibri" w:eastAsia="Calibri"/>
          <w:b w:val="0"/>
          <w:i w:val="0"/>
          <w:color w:val="4A4A4A"/>
          <w:sz w:val="24"/>
        </w:rPr>
        <w:t>The production path for every file</w:t>
      </w:r>
    </w:p>
    <w:p>
      <w:pPr>
        <w:pStyle w:val="Heading1"/>
      </w:pPr>
      <w:r>
        <w:rPr>
          <w:rFonts w:ascii="Calibri" w:hAnsi="Calibri"/>
          <w:color w:val="7A1F2B"/>
        </w:rPr>
        <w:t>The rule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One claimant, one supplier matter, one folder. Everything in that folder is treated as that case unless Extract rejects it.</w:t>
      </w:r>
    </w:p>
    <w:p>
      <w:pPr>
        <w:pStyle w:val="Heading1"/>
      </w:pPr>
      <w:r>
        <w:rPr>
          <w:rFonts w:ascii="Calibri" w:hAnsi="Calibri"/>
          <w:color w:val="7A1F2B"/>
        </w:rPr>
        <w:t>Folder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Name it: Crimson_Case_&lt;ID&gt;_&lt;Company&gt;_&lt;Supplier&gt;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Example: Crimson_Case_AI156_Bocacina_BritishGas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Put only that case’s contract or welcome letter, bills, LOA, emails, earlier report, and any solicitor instruction note inside it.</w:t>
      </w:r>
    </w:p>
    <w:p>
      <w:pPr>
        <w:pStyle w:val="Heading1"/>
      </w:pPr>
      <w:r>
        <w:rPr>
          <w:rFonts w:ascii="Calibri" w:hAnsi="Calibri"/>
          <w:color w:val="7A1F2B"/>
        </w:rPr>
        <w:t>What Extract does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Reads every supported file in the folder (or zip).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Classifies: energy contract, bill, LOA, quote, report, email, mortgage, AppleDouble, other.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Holds mortgage and junk out of the Bridge.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Counts PDF pages where it can.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Writes one Data Bridge for that case.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Writes one intake report: counts, file list, missing items.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If a solicitor instruction JSON is attached, writes Assumptions_Import and, if instructed, imputed months.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Stops before inventing a rate. Method 2 is not printed if commission is blank and there is no note.</w:t>
      </w:r>
    </w:p>
    <w:p>
      <w:pPr>
        <w:pStyle w:val="Heading1"/>
      </w:pPr>
      <w:r>
        <w:rPr>
          <w:rFonts w:ascii="Calibri" w:hAnsi="Calibri"/>
          <w:color w:val="7A1F2B"/>
        </w:rPr>
        <w:t>If a rogue file is in the folder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Extract names it on the Document Schedule with stream mortgage, discard or other. It does not go onto Contracts_Import or Bills_Import. You can leave it out, or move it to the correct case folder and run again.</w:t>
      </w:r>
    </w:p>
    <w:p>
      <w:pPr>
        <w:pStyle w:val="Heading1"/>
      </w:pPr>
      <w:r>
        <w:rPr>
          <w:rFonts w:ascii="Calibri" w:hAnsi="Calibri"/>
          <w:color w:val="7A1F2B"/>
        </w:rPr>
        <w:t>Twenty cases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Twenty cases is twenty folders, or five desks each running one case at a time. It is not one folder containing twenty clients.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74" w:right="1077" w:bottom="1020" w:left="1077" w:header="28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Calibri" w:hAnsi="Calibri" w:eastAsia="Calibri"/>
        <w:b w:val="0"/>
        <w:i w:val="0"/>
        <w:color w:val="4A4A4A"/>
        <w:sz w:val="16"/>
      </w:rPr>
      <w:t>For operators  ·  18 August 2026  ·  Not legal advice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Calibri" w:hAnsi="Calibri" w:eastAsia="Calibri"/>
        <w:b/>
        <w:i w:val="0"/>
        <w:color w:val="7A1F2B"/>
        <w:sz w:val="18"/>
      </w:rPr>
      <w:t xml:space="preserve">    CRIMSON HORSE  ·  rollout note</w:t>
    </w:r>
    <w:r>
      <w:drawing>
        <wp:inline xmlns:a="http://schemas.openxmlformats.org/drawingml/2006/main" xmlns:pic="http://schemas.openxmlformats.org/drawingml/2006/picture">
          <wp:extent cx="335101" cy="50292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ag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5101" cy="502920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