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"/>
      </w:pPr>
      <w:r>
        <w:rPr>
          <w:rFonts w:ascii="Calibri" w:hAnsi="Calibri" w:eastAsia="Calibri"/>
          <w:b/>
          <w:i w:val="0"/>
          <w:color w:val="7A1F2B"/>
          <w:sz w:val="24"/>
        </w:rPr>
        <w:t>CRIMSON HORSE</w:t>
      </w:r>
    </w:p>
    <w:p>
      <w:r>
        <w:rPr>
          <w:rFonts w:ascii="Calibri" w:hAnsi="Calibri" w:eastAsia="Calibri"/>
          <w:b/>
          <w:i w:val="0"/>
          <w:color w:val="7A1F2B"/>
          <w:sz w:val="44"/>
        </w:rPr>
        <w:t>Crimson Screen</w:t>
      </w:r>
    </w:p>
    <w:p>
      <w:r>
        <w:rPr>
          <w:rFonts w:ascii="Calibri" w:hAnsi="Calibri" w:eastAsia="Calibri"/>
          <w:b w:val="0"/>
          <w:i w:val="0"/>
          <w:color w:val="4A4A4A"/>
          <w:sz w:val="24"/>
        </w:rPr>
        <w:t>The yes-or-no tool you can sell to lead providers</w:t>
      </w:r>
    </w:p>
    <w:p>
      <w:pPr>
        <w:pStyle w:val="Heading1"/>
      </w:pPr>
      <w:r>
        <w:rPr>
          <w:rFonts w:ascii="Calibri" w:hAnsi="Calibri"/>
          <w:color w:val="7A1F2B"/>
        </w:rPr>
        <w:t>What it is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Crimson Screen is a short look at a business energy file before it is submitted for a full Extract run. It asks a fixed list of questions about the papers the lead provider already has. It then says whether the file is ready to send, what is still needed, and — only if the papers support it — an indicated range for a figure.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is designed to sit on more than one computer. Each computer looks at one case at a time. It can be licensed on its own, or it can sit in front of Extract for the firm that then takes the case.</w:t>
      </w:r>
    </w:p>
    <w:p>
      <w:pPr>
        <w:pStyle w:val="Heading1"/>
      </w:pPr>
      <w:r>
        <w:rPr>
          <w:rFonts w:ascii="Calibri" w:hAnsi="Calibri"/>
          <w:color w:val="7A1F2B"/>
        </w:rPr>
        <w:t>The questions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43"/>
        <w:gridCol w:w="5043"/>
      </w:tblGrid>
      <w:tr>
        <w:tc>
          <w:tcPr>
            <w:tcW w:type="dxa" w:w="5043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Question</w:t>
            </w:r>
          </w:p>
        </w:tc>
        <w:tc>
          <w:tcPr>
            <w:tcW w:type="dxa" w:w="5043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If the answer is no</w:t>
            </w:r>
          </w:p>
        </w:tc>
      </w:tr>
      <w:tr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Is there a signed contract or a welcome / award letter with rates and dates?</w:t>
            </w:r>
          </w:p>
        </w:tc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Not yet. Obtain the contract or welcome letter.</w:t>
            </w:r>
          </w:p>
        </w:tc>
      </w:tr>
      <w:tr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Are the supplier name, site address and MPAN or MPRN on the papers?</w:t>
            </w:r>
          </w:p>
        </w:tc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Obtain a bill or contract that shows the meter point.</w:t>
            </w:r>
          </w:p>
        </w:tc>
      </w:tr>
      <w:tr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Are there bills for the period to be looked at?</w:t>
            </w:r>
          </w:p>
        </w:tc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 first look can still be done on the contract. Any figure based on actual use will wait.</w:t>
            </w:r>
          </w:p>
        </w:tc>
      </w:tr>
      <w:tr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Was a broker used, and is there a letter of authority?</w:t>
            </w:r>
          </w:p>
        </w:tc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Obtain the LOA if you can. The file can still be sent. The gap will be marked.</w:t>
            </w:r>
          </w:p>
        </w:tc>
      </w:tr>
      <w:tr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Is commission printed on the contract or in a broker document?</w:t>
            </w:r>
          </w:p>
        </w:tc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Do not estimate a percentage. The file can be sent. Commission stays blank unless a solicitor later instructs a figure.</w:t>
            </w:r>
          </w:p>
        </w:tc>
      </w:tr>
      <w:tr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Are the contract term and estimated annual use shown?</w:t>
            </w:r>
          </w:p>
        </w:tc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Obtain the schedule. Very short terms and very low EAC often produce a small figure.</w:t>
            </w:r>
          </w:p>
        </w:tc>
      </w:tr>
      <w:tr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Is the printed unit rate lower than any evidenced comparator you have been given?</w:t>
            </w:r>
          </w:p>
        </w:tc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If the comparator is higher, Method 1 may be nil. Record that. Do not invent a different rate.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7A1F2B"/>
        </w:rPr>
        <w:t>The answers it gives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Ready to send — the papers needed for a first look are present.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Send, but these items are still needed — the file can come in; the gaps are listed.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Not yet — please obtain the items listed before sending.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An indicated figure only if contract rates and a period of use (bills, or EAC the solicitor has instructed) are present. Otherwise it says so and does not guess.</w:t>
      </w:r>
    </w:p>
    <w:p>
      <w:pPr>
        <w:pStyle w:val="Heading1"/>
      </w:pPr>
      <w:r>
        <w:rPr>
          <w:rFonts w:ascii="Calibri" w:hAnsi="Calibri"/>
          <w:color w:val="7A1F2B"/>
        </w:rPr>
        <w:t>Time for each look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43"/>
        <w:gridCol w:w="5043"/>
      </w:tblGrid>
      <w:tr>
        <w:tc>
          <w:tcPr>
            <w:tcW w:type="dxa" w:w="5043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What they have</w:t>
            </w:r>
          </w:p>
        </w:tc>
        <w:tc>
          <w:tcPr>
            <w:tcW w:type="dxa" w:w="5043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Time to allow</w:t>
            </w:r>
          </w:p>
        </w:tc>
      </w:tr>
      <w:tr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Contract (or welcome letter) and a clear run of bills</w:t>
            </w:r>
          </w:p>
        </w:tc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About 8 to 15 minutes</w:t>
            </w:r>
          </w:p>
        </w:tc>
      </w:tr>
      <w:tr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Contract only, or bills only</w:t>
            </w:r>
          </w:p>
        </w:tc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About 5 to 8 minutes, mostly to list gaps</w:t>
            </w:r>
          </w:p>
        </w:tc>
      </w:tr>
      <w:tr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 mixed or unclear folder that has to be sorted first</w:t>
            </w:r>
          </w:p>
        </w:tc>
        <w:tc>
          <w:tcPr>
            <w:tcW w:type="dxa" w:w="5043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About 15 to 20 minutes</w:t>
            </w:r>
          </w:p>
        </w:tc>
      </w:tr>
      <w:tr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A later full valuation after the Bridge is complete</w:t>
            </w:r>
          </w:p>
        </w:tc>
        <w:tc>
          <w:tcPr>
            <w:tcW w:type="dxa" w:w="5043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Longer, and not the same job</w:t>
            </w:r>
          </w:p>
        </w:tc>
      </w:tr>
    </w:tbl>
    <w:p/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Those times assume a trained operator and readable PDFs. Scanned images that cannot be read take longer, or come back with a request for a clearer copy.</w:t>
      </w:r>
    </w:p>
    <w:p>
      <w:pPr>
        <w:pStyle w:val="Heading1"/>
      </w:pPr>
      <w:r>
        <w:rPr>
          <w:rFonts w:ascii="Calibri" w:hAnsi="Calibri"/>
          <w:color w:val="7A1F2B"/>
        </w:rPr>
        <w:t>What it will not do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invent a commission percentage or a fair rate.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treat a previous report’s 15% or 40% as a fact.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give legal advice.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say “take this case” as a legal conclusion. It will say whether the papers meet the published list.</w:t>
      </w:r>
    </w:p>
    <w:p>
      <w:pPr>
        <w:pStyle w:val="Heading1"/>
      </w:pPr>
      <w:r>
        <w:rPr>
          <w:rFonts w:ascii="Calibri" w:hAnsi="Calibri"/>
          <w:color w:val="7A1F2B"/>
        </w:rPr>
        <w:t>How it is sold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Suggested price, not a quote: £6,000–£10,000 a year per seat, or £25–£40 per screening. White-label for a named lead provider is a one-off extra. Install on as many licensed PCs as they buy. One case per run on each PC.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The potential client you have in mind can be shown this note and the lead-provider engagement note together. Screen is how they stop sending files that will only come back as “not yet”.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74" w:right="1077" w:bottom="1020" w:left="1077" w:header="28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Calibri" w:hAnsi="Calibri" w:eastAsia="Calibri"/>
        <w:b w:val="0"/>
        <w:i w:val="0"/>
        <w:color w:val="4A4A4A"/>
        <w:sz w:val="16"/>
      </w:rPr>
      <w:t>For lead providers, sales and managing partners  ·  18 August 2026  ·  Not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Calibri" w:hAnsi="Calibri" w:eastAsia="Calibri"/>
        <w:b/>
        <w:i w:val="0"/>
        <w:color w:val="7A1F2B"/>
        <w:sz w:val="18"/>
      </w:rPr>
      <w:t xml:space="preserve">    CRIMSON HORSE  ·  rollout note</w:t>
    </w:r>
    <w:r>
      <w:drawing>
        <wp:inline xmlns:a="http://schemas.openxmlformats.org/drawingml/2006/main" xmlns:pic="http://schemas.openxmlformats.org/drawingml/2006/picture">
          <wp:extent cx="335101" cy="50292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101" cy="50292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