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4E79"/>
          <w:sz w:val="24"/>
        </w:rPr>
        <w:t>Crimson Horse</w:t>
      </w:r>
    </w:p>
    <w:p>
      <w:pPr>
        <w:jc w:val="center"/>
      </w:pPr>
      <w:r>
        <w:rPr>
          <w:b/>
          <w:sz w:val="36"/>
        </w:rPr>
        <w:t>Business Energy Claim</w:t>
      </w:r>
    </w:p>
    <w:p>
      <w:pPr>
        <w:jc w:val="center"/>
      </w:pPr>
      <w:r>
        <w:rPr>
          <w:sz w:val="28"/>
        </w:rPr>
        <w:t>Quantum Valuation (raw)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</w:tcPr>
          <w:p>
            <w:r>
              <w:t>Case reference</w:t>
            </w:r>
          </w:p>
        </w:tc>
        <w:tc>
          <w:tcPr>
            <w:tcW w:type="dxa" w:w="4703"/>
          </w:tcPr>
          <w:p>
            <w:r>
              <w:t>Case 1 — British Gas (redacted pack)</w:t>
            </w:r>
          </w:p>
        </w:tc>
      </w:tr>
      <w:tr>
        <w:tc>
          <w:tcPr>
            <w:tcW w:type="dxa" w:w="4703"/>
          </w:tcPr>
          <w:p>
            <w:r>
              <w:t>Claimant</w:t>
            </w:r>
          </w:p>
        </w:tc>
        <w:tc>
          <w:tcPr>
            <w:tcW w:type="dxa" w:w="4703"/>
          </w:tcPr>
          <w:p>
            <w:r>
              <w:t>Not named in full on the redacted contract; account 603439222</w:t>
            </w:r>
          </w:p>
        </w:tc>
      </w:tr>
      <w:tr>
        <w:tc>
          <w:tcPr>
            <w:tcW w:type="dxa" w:w="4703"/>
          </w:tcPr>
          <w:p>
            <w:r>
              <w:t>Supplier</w:t>
            </w:r>
          </w:p>
        </w:tc>
        <w:tc>
          <w:tcPr>
            <w:tcW w:type="dxa" w:w="4703"/>
          </w:tcPr>
          <w:p>
            <w:r>
              <w:t>British Gas</w:t>
            </w:r>
          </w:p>
        </w:tc>
      </w:tr>
      <w:tr>
        <w:tc>
          <w:tcPr>
            <w:tcW w:type="dxa" w:w="4703"/>
          </w:tcPr>
          <w:p>
            <w:r>
              <w:t>Broker</w:t>
            </w:r>
          </w:p>
        </w:tc>
        <w:tc>
          <w:tcPr>
            <w:tcW w:type="dxa" w:w="4703"/>
          </w:tcPr>
          <w:p>
            <w:r>
              <w:t>Matthew Bunn t/a Matthew Bunn Energy</w:t>
            </w:r>
          </w:p>
        </w:tc>
      </w:tr>
      <w:tr>
        <w:tc>
          <w:tcPr>
            <w:tcW w:type="dxa" w:w="4703"/>
          </w:tcPr>
          <w:p>
            <w:r>
              <w:t>Date of valuation</w:t>
            </w:r>
          </w:p>
        </w:tc>
        <w:tc>
          <w:tcPr>
            <w:tcW w:type="dxa" w:w="4703"/>
          </w:tcPr>
          <w:p>
            <w:r>
              <w:t>18 August 2026</w:t>
            </w:r>
          </w:p>
        </w:tc>
      </w:tr>
      <w:tr>
        <w:tc>
          <w:tcPr>
            <w:tcW w:type="dxa" w:w="4703"/>
          </w:tcPr>
          <w:p>
            <w:r>
              <w:t>Papers examined</w:t>
            </w:r>
          </w:p>
        </w:tc>
        <w:tc>
          <w:tcPr>
            <w:tcW w:type="dxa" w:w="4703"/>
          </w:tcPr>
          <w:p>
            <w:r>
              <w:t>Contract_Redacted.pdf (23 September 2020); Bill_Redacted.pdf (26 September 2023)</w:t>
            </w:r>
          </w:p>
        </w:tc>
      </w:tr>
      <w:tr>
        <w:tc>
          <w:tcPr>
            <w:tcW w:type="dxa" w:w="4703"/>
          </w:tcPr>
          <w:p>
            <w:r>
              <w:t>Headline quantum</w:t>
            </w:r>
          </w:p>
        </w:tc>
        <w:tc>
          <w:tcPr>
            <w:tcW w:type="dxa" w:w="4703"/>
          </w:tcPr>
          <w:p>
            <w:r>
              <w:t>Not stated — cost-of-supply rate and commission amount are blank</w:t>
            </w:r>
          </w:p>
        </w:tc>
      </w:tr>
    </w:tbl>
    <w:p/>
    <w:p>
      <w:r>
        <w:rPr>
          <w:rFonts w:ascii="Arial" w:hAnsi="Arial"/>
          <w:b w:val="0"/>
          <w:i/>
          <w:sz w:val="22"/>
        </w:rPr>
        <w:t>This document sets out what is written on the two papers in the Case 1 pack. Figures that are not on those papers are left blank. This is not legal advice.</w:t>
      </w:r>
    </w:p>
    <w:p>
      <w:pPr>
        <w:pStyle w:val="Heading1"/>
      </w:pPr>
      <w:r>
        <w:rPr>
          <w:color w:val="1F4E79"/>
        </w:rPr>
        <w:t>Executive Summary</w:t>
      </w:r>
    </w:p>
    <w:p>
      <w:r>
        <w:rPr>
          <w:rFonts w:ascii="Arial" w:hAnsi="Arial"/>
          <w:b w:val="0"/>
          <w:i w:val="0"/>
          <w:sz w:val="22"/>
        </w:rPr>
        <w:t>The contract is a three-year British Gas Fixed Price Energy Plan. Supply is stated to start on 1 April 2021 and end on 31 March 2024. The unit charge on the face of the contract is 15.100 pence per kilowatt-hour. The standing charge is 39.910 pence per day. Estimated annual consumption is 75,000 kWh. The plan is marked as a micro business. One bill in the pack (29 August 2023 to 25 September 2023) shows electricity charges of £1,014.42, standing charges of £11.17 and Climate Change Levy of £52.06, all before VAT.</w:t>
      </w:r>
    </w:p>
    <w:p>
      <w:r>
        <w:rPr>
          <w:rFonts w:ascii="Arial" w:hAnsi="Arial"/>
          <w:b w:val="0"/>
          <w:i w:val="0"/>
          <w:sz w:val="22"/>
        </w:rPr>
        <w:t>Neither paper states the amount of any commission. Neither paper states a wholesale or cost-of-supply rate. Those cells are therefore blank. No overpayment or commission quantum is calculated.</w:t>
      </w:r>
    </w:p>
    <w:p>
      <w:pPr>
        <w:pStyle w:val="Heading1"/>
      </w:pPr>
      <w:r>
        <w:rPr>
          <w:color w:val="1F4E79"/>
        </w:rPr>
        <w:t>1. Basis of this valuation</w:t>
      </w:r>
    </w:p>
    <w:p>
      <w:r>
        <w:rPr>
          <w:rFonts w:ascii="Arial" w:hAnsi="Arial"/>
          <w:b w:val="0"/>
          <w:i w:val="0"/>
          <w:sz w:val="22"/>
        </w:rPr>
        <w:t>This is a raw quantum valuation prepared from two papers. It records the figures that appear on those papers and the figures that do not.</w:t>
      </w:r>
    </w:p>
    <w:p>
      <w:pPr>
        <w:pStyle w:val="Heading1"/>
      </w:pPr>
      <w:r>
        <w:rPr>
          <w:color w:val="1F4E79"/>
        </w:rPr>
        <w:t>2. Case framing</w:t>
      </w:r>
    </w:p>
    <w:p>
      <w:pPr>
        <w:pStyle w:val="Heading2"/>
      </w:pPr>
      <w:r>
        <w:rPr>
          <w:color w:val="1F4E79"/>
        </w:rPr>
        <w:t>2.1 Parties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</w:tcPr>
          <w:p>
            <w:r>
              <w:t>Supplier</w:t>
            </w:r>
          </w:p>
        </w:tc>
        <w:tc>
          <w:tcPr>
            <w:tcW w:type="dxa" w:w="4703"/>
          </w:tcPr>
          <w:p>
            <w:r>
              <w:t>British Gas (welcome / plan document dated 23 September 2020)</w:t>
            </w:r>
          </w:p>
        </w:tc>
      </w:tr>
      <w:tr>
        <w:tc>
          <w:tcPr>
            <w:tcW w:type="dxa" w:w="4703"/>
          </w:tcPr>
          <w:p>
            <w:r>
              <w:t>Broker named on the plan</w:t>
            </w:r>
          </w:p>
        </w:tc>
        <w:tc>
          <w:tcPr>
            <w:tcW w:type="dxa" w:w="4703"/>
          </w:tcPr>
          <w:p>
            <w:r>
              <w:t>Matthew Bunn t/a Matthew Bunn Energy, telephone 0749 599 8203</w:t>
            </w:r>
          </w:p>
        </w:tc>
      </w:tr>
      <w:tr>
        <w:tc>
          <w:tcPr>
            <w:tcW w:type="dxa" w:w="4703"/>
          </w:tcPr>
          <w:p>
            <w:r>
              <w:t>Account number</w:t>
            </w:r>
          </w:p>
        </w:tc>
        <w:tc>
          <w:tcPr>
            <w:tcW w:type="dxa" w:w="4703"/>
          </w:tcPr>
          <w:p>
            <w:r>
              <w:t>603439222</w:t>
            </w:r>
          </w:p>
        </w:tc>
      </w:tr>
      <w:tr>
        <w:tc>
          <w:tcPr>
            <w:tcW w:type="dxa" w:w="4703"/>
          </w:tcPr>
          <w:p>
            <w:r>
              <w:t>MPAN on the plan</w:t>
            </w:r>
          </w:p>
        </w:tc>
        <w:tc>
          <w:tcPr>
            <w:tcW w:type="dxa" w:w="4703"/>
          </w:tcPr>
          <w:p>
            <w:r>
              <w:t>S 03 801 200 21 9999 5595 034</w:t>
            </w:r>
          </w:p>
        </w:tc>
      </w:tr>
    </w:tbl>
    <w:p>
      <w:pPr>
        <w:pStyle w:val="Heading2"/>
      </w:pPr>
      <w:r>
        <w:rPr>
          <w:color w:val="1F4E79"/>
        </w:rPr>
        <w:t>2.2 Contract on the face of the document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</w:tcPr>
          <w:p>
            <w:r>
              <w:t>Document date</w:t>
            </w:r>
          </w:p>
        </w:tc>
        <w:tc>
          <w:tcPr>
            <w:tcW w:type="dxa" w:w="4703"/>
          </w:tcPr>
          <w:p>
            <w:r>
              <w:t>23 September 2020</w:t>
            </w:r>
          </w:p>
        </w:tc>
      </w:tr>
      <w:tr>
        <w:tc>
          <w:tcPr>
            <w:tcW w:type="dxa" w:w="4703"/>
          </w:tcPr>
          <w:p>
            <w:r>
              <w:t>Plan</w:t>
            </w:r>
          </w:p>
        </w:tc>
        <w:tc>
          <w:tcPr>
            <w:tcW w:type="dxa" w:w="4703"/>
          </w:tcPr>
          <w:p>
            <w:r>
              <w:t>Fixed Price Energy Plan — 3 years</w:t>
            </w:r>
          </w:p>
        </w:tc>
      </w:tr>
      <w:tr>
        <w:tc>
          <w:tcPr>
            <w:tcW w:type="dxa" w:w="4703"/>
          </w:tcPr>
          <w:p>
            <w:r>
              <w:t>Start date</w:t>
            </w:r>
          </w:p>
        </w:tc>
        <w:tc>
          <w:tcPr>
            <w:tcW w:type="dxa" w:w="4703"/>
          </w:tcPr>
          <w:p>
            <w:r>
              <w:t>1 April 2021</w:t>
            </w:r>
          </w:p>
        </w:tc>
      </w:tr>
      <w:tr>
        <w:tc>
          <w:tcPr>
            <w:tcW w:type="dxa" w:w="4703"/>
          </w:tcPr>
          <w:p>
            <w:r>
              <w:t>End date</w:t>
            </w:r>
          </w:p>
        </w:tc>
        <w:tc>
          <w:tcPr>
            <w:tcW w:type="dxa" w:w="4703"/>
          </w:tcPr>
          <w:p>
            <w:r>
              <w:t>31 March 2024</w:t>
            </w:r>
          </w:p>
        </w:tc>
      </w:tr>
      <w:tr>
        <w:tc>
          <w:tcPr>
            <w:tcW w:type="dxa" w:w="4703"/>
          </w:tcPr>
          <w:p>
            <w:r>
              <w:t>Unit charge</w:t>
            </w:r>
          </w:p>
        </w:tc>
        <w:tc>
          <w:tcPr>
            <w:tcW w:type="dxa" w:w="4703"/>
          </w:tcPr>
          <w:p>
            <w:r>
              <w:t>15.100 p/kWh</w:t>
            </w:r>
          </w:p>
        </w:tc>
      </w:tr>
      <w:tr>
        <w:tc>
          <w:tcPr>
            <w:tcW w:type="dxa" w:w="4703"/>
          </w:tcPr>
          <w:p>
            <w:r>
              <w:t>Standing charge</w:t>
            </w:r>
          </w:p>
        </w:tc>
        <w:tc>
          <w:tcPr>
            <w:tcW w:type="dxa" w:w="4703"/>
          </w:tcPr>
          <w:p>
            <w:r>
              <w:t>39.910 p/day</w:t>
            </w:r>
          </w:p>
        </w:tc>
      </w:tr>
      <w:tr>
        <w:tc>
          <w:tcPr>
            <w:tcW w:type="dxa" w:w="4703"/>
          </w:tcPr>
          <w:p>
            <w:r>
              <w:t>Estimated annual consumption</w:t>
            </w:r>
          </w:p>
        </w:tc>
        <w:tc>
          <w:tcPr>
            <w:tcW w:type="dxa" w:w="4703"/>
          </w:tcPr>
          <w:p>
            <w:r>
              <w:t>75,000 kWh</w:t>
            </w:r>
          </w:p>
        </w:tc>
      </w:tr>
      <w:tr>
        <w:tc>
          <w:tcPr>
            <w:tcW w:type="dxa" w:w="4703"/>
          </w:tcPr>
          <w:p>
            <w:r>
              <w:t>Payment method</w:t>
            </w:r>
          </w:p>
        </w:tc>
        <w:tc>
          <w:tcPr>
            <w:tcW w:type="dxa" w:w="4703"/>
          </w:tcPr>
          <w:p>
            <w:r>
              <w:t>Direct Debit</w:t>
            </w:r>
          </w:p>
        </w:tc>
      </w:tr>
      <w:tr>
        <w:tc>
          <w:tcPr>
            <w:tcW w:type="dxa" w:w="4703"/>
          </w:tcPr>
          <w:p>
            <w:r>
              <w:t>Business status stated</w:t>
            </w:r>
          </w:p>
        </w:tc>
        <w:tc>
          <w:tcPr>
            <w:tcW w:type="dxa" w:w="4703"/>
          </w:tcPr>
          <w:p>
            <w:r>
              <w:t>Micro business</w:t>
            </w:r>
          </w:p>
        </w:tc>
      </w:tr>
      <w:tr>
        <w:tc>
          <w:tcPr>
            <w:tcW w:type="dxa" w:w="4703"/>
          </w:tcPr>
          <w:p>
            <w:r>
              <w:t>Charges note</w:t>
            </w:r>
          </w:p>
        </w:tc>
        <w:tc>
          <w:tcPr>
            <w:tcW w:type="dxa" w:w="4703"/>
          </w:tcPr>
          <w:p>
            <w:r>
              <w:t>All charges exclude Climate Change Levy and VAT</w:t>
            </w:r>
          </w:p>
        </w:tc>
      </w:tr>
    </w:tbl>
    <w:p>
      <w:pPr>
        <w:pStyle w:val="Heading2"/>
      </w:pPr>
      <w:r>
        <w:rPr>
          <w:color w:val="1F4E79"/>
        </w:rPr>
        <w:t>2.3 Bill on the face of the document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</w:tcPr>
          <w:p>
            <w:r>
              <w:t>Bill date</w:t>
            </w:r>
          </w:p>
        </w:tc>
        <w:tc>
          <w:tcPr>
            <w:tcW w:type="dxa" w:w="4703"/>
          </w:tcPr>
          <w:p>
            <w:r>
              <w:t>26 September 2023</w:t>
            </w:r>
          </w:p>
        </w:tc>
      </w:tr>
      <w:tr>
        <w:tc>
          <w:tcPr>
            <w:tcW w:type="dxa" w:w="4703"/>
          </w:tcPr>
          <w:p>
            <w:r>
              <w:t>Bill number</w:t>
            </w:r>
          </w:p>
        </w:tc>
        <w:tc>
          <w:tcPr>
            <w:tcW w:type="dxa" w:w="4703"/>
          </w:tcPr>
          <w:p>
            <w:r>
              <w:t>830451584</w:t>
            </w:r>
          </w:p>
        </w:tc>
      </w:tr>
      <w:tr>
        <w:tc>
          <w:tcPr>
            <w:tcW w:type="dxa" w:w="4703"/>
          </w:tcPr>
          <w:p>
            <w:r>
              <w:t>Period</w:t>
            </w:r>
          </w:p>
        </w:tc>
        <w:tc>
          <w:tcPr>
            <w:tcW w:type="dxa" w:w="4703"/>
          </w:tcPr>
          <w:p>
            <w:r>
              <w:t>29 August 2023 to 25 September 2023</w:t>
            </w:r>
          </w:p>
        </w:tc>
      </w:tr>
      <w:tr>
        <w:tc>
          <w:tcPr>
            <w:tcW w:type="dxa" w:w="4703"/>
          </w:tcPr>
          <w:p>
            <w:r>
              <w:t>Electricity charges</w:t>
            </w:r>
          </w:p>
        </w:tc>
        <w:tc>
          <w:tcPr>
            <w:tcW w:type="dxa" w:w="4703"/>
          </w:tcPr>
          <w:p>
            <w:r>
              <w:t>£1,014.42</w:t>
            </w:r>
          </w:p>
        </w:tc>
      </w:tr>
      <w:tr>
        <w:tc>
          <w:tcPr>
            <w:tcW w:type="dxa" w:w="4703"/>
          </w:tcPr>
          <w:p>
            <w:r>
              <w:t>Standing charges</w:t>
            </w:r>
          </w:p>
        </w:tc>
        <w:tc>
          <w:tcPr>
            <w:tcW w:type="dxa" w:w="4703"/>
          </w:tcPr>
          <w:p>
            <w:r>
              <w:t>£11.17</w:t>
            </w:r>
          </w:p>
        </w:tc>
      </w:tr>
      <w:tr>
        <w:tc>
          <w:tcPr>
            <w:tcW w:type="dxa" w:w="4703"/>
          </w:tcPr>
          <w:p>
            <w:r>
              <w:t>Climate Change Levy</w:t>
            </w:r>
          </w:p>
        </w:tc>
        <w:tc>
          <w:tcPr>
            <w:tcW w:type="dxa" w:w="4703"/>
          </w:tcPr>
          <w:p>
            <w:r>
              <w:t>£52.06</w:t>
            </w:r>
          </w:p>
        </w:tc>
      </w:tr>
      <w:tr>
        <w:tc>
          <w:tcPr>
            <w:tcW w:type="dxa" w:w="4703"/>
          </w:tcPr>
          <w:p>
            <w:r>
              <w:t>Total ex VAT</w:t>
            </w:r>
          </w:p>
        </w:tc>
        <w:tc>
          <w:tcPr>
            <w:tcW w:type="dxa" w:w="4703"/>
          </w:tcPr>
          <w:p>
            <w:r>
              <w:t>£1,077.65</w:t>
            </w:r>
          </w:p>
        </w:tc>
      </w:tr>
      <w:tr>
        <w:tc>
          <w:tcPr>
            <w:tcW w:type="dxa" w:w="4703"/>
          </w:tcPr>
          <w:p>
            <w:r>
              <w:t>VAT</w:t>
            </w:r>
          </w:p>
        </w:tc>
        <w:tc>
          <w:tcPr>
            <w:tcW w:type="dxa" w:w="4703"/>
          </w:tcPr>
          <w:p>
            <w:r>
              <w:t>£215.53</w:t>
            </w:r>
          </w:p>
        </w:tc>
      </w:tr>
      <w:tr>
        <w:tc>
          <w:tcPr>
            <w:tcW w:type="dxa" w:w="4703"/>
          </w:tcPr>
          <w:p>
            <w:r>
              <w:t>Total inc VAT</w:t>
            </w:r>
          </w:p>
        </w:tc>
        <w:tc>
          <w:tcPr>
            <w:tcW w:type="dxa" w:w="4703"/>
          </w:tcPr>
          <w:p>
            <w:r>
              <w:t>£1,293.18</w:t>
            </w:r>
          </w:p>
        </w:tc>
      </w:tr>
      <w:tr>
        <w:tc>
          <w:tcPr>
            <w:tcW w:type="dxa" w:w="4703"/>
          </w:tcPr>
          <w:p>
            <w:r>
              <w:t>kWh by rate band</w:t>
            </w:r>
          </w:p>
        </w:tc>
        <w:tc>
          <w:tcPr>
            <w:tcW w:type="dxa" w:w="4703"/>
          </w:tcPr>
          <w:p>
            <w:r>
              <w:t>Not printed on page 1 of this bill</w:t>
            </w:r>
          </w:p>
        </w:tc>
      </w:tr>
    </w:tbl>
    <w:p>
      <w:r>
        <w:rPr>
          <w:rFonts w:ascii="Arial" w:hAnsi="Arial"/>
          <w:b w:val="0"/>
          <w:i/>
          <w:sz w:val="22"/>
        </w:rPr>
        <w:t>Disclosure position on the papers examined. Neither the contract nor the bill states that a commission would be paid, or the amount of any commission.</w:t>
      </w:r>
    </w:p>
    <w:p>
      <w:pPr>
        <w:pStyle w:val="Heading1"/>
      </w:pPr>
      <w:r>
        <w:rPr>
          <w:color w:val="1F4E79"/>
        </w:rPr>
        <w:t>3. Legal framework used for the figures</w:t>
      </w:r>
    </w:p>
    <w:p>
      <w:r>
        <w:rPr>
          <w:rFonts w:ascii="Arial" w:hAnsi="Arial"/>
          <w:b w:val="0"/>
          <w:i w:val="0"/>
          <w:sz w:val="22"/>
        </w:rPr>
        <w:t>The calculation, when it can be completed, follows the measure in Wood v Commercial First Business Ltd [2021] EWCA Civ 471: (A + B) − (C + D). Reference is also made to Mothew, Hopcraft / Johnson / Wrench [2025] UKSC 33, and Expert Tooling v Engie [2025] EWCA Civ 292. These are cited for reference only. This document does not contain legal advice.</w:t>
      </w:r>
    </w:p>
    <w:p>
      <w:pPr>
        <w:pStyle w:val="Heading1"/>
      </w:pPr>
      <w:r>
        <w:rPr>
          <w:color w:val="1F4E79"/>
        </w:rPr>
        <w:t>4. The commission figure</w:t>
      </w:r>
    </w:p>
    <w:p>
      <w:r>
        <w:rPr>
          <w:rFonts w:ascii="Arial" w:hAnsi="Arial"/>
          <w:b w:val="0"/>
          <w:i w:val="0"/>
          <w:sz w:val="22"/>
        </w:rPr>
        <w:t>Neither paper states a commission amount or rate. The cell is blank.</w:t>
      </w:r>
    </w:p>
    <w:p>
      <w:pPr>
        <w:pStyle w:val="Heading1"/>
      </w:pPr>
      <w:r>
        <w:rPr>
          <w:color w:val="1F4E79"/>
        </w:rPr>
        <w:t>5. Primary quantum — rescission measure</w:t>
      </w:r>
    </w:p>
    <w:p>
      <w:r>
        <w:rPr>
          <w:rFonts w:ascii="Arial" w:hAnsi="Arial"/>
          <w:b w:val="0"/>
          <w:i w:val="0"/>
          <w:sz w:val="22"/>
        </w:rPr>
        <w:t>A (money paid) cannot be totalled from one bill. C (supplier’s cost of the energy) has no source in this pack. The rescission quantum is therefore not stated.</w:t>
      </w:r>
    </w:p>
    <w:p>
      <w:pPr>
        <w:pStyle w:val="Heading1"/>
      </w:pPr>
      <w:r>
        <w:rPr>
          <w:color w:val="1F4E79"/>
        </w:rPr>
        <w:t>6. Fall-back quantum — commission only</w:t>
      </w:r>
    </w:p>
    <w:p>
      <w:r>
        <w:rPr>
          <w:rFonts w:ascii="Arial" w:hAnsi="Arial"/>
          <w:b w:val="0"/>
          <w:i w:val="0"/>
          <w:sz w:val="22"/>
        </w:rPr>
        <w:t>Blank. No commission figure appears on the papers.</w:t>
      </w:r>
    </w:p>
    <w:p>
      <w:pPr>
        <w:pStyle w:val="Heading1"/>
      </w:pPr>
      <w:r>
        <w:rPr>
          <w:color w:val="1F4E79"/>
        </w:rPr>
        <w:t>7. Interest</w:t>
      </w:r>
    </w:p>
    <w:p>
      <w:r>
        <w:rPr>
          <w:rFonts w:ascii="Arial" w:hAnsi="Arial"/>
          <w:b w:val="0"/>
          <w:i w:val="0"/>
          <w:sz w:val="22"/>
        </w:rPr>
        <w:t>No interest is calculated on a blank principal.</w:t>
      </w:r>
    </w:p>
    <w:p>
      <w:pPr>
        <w:pStyle w:val="Heading1"/>
      </w:pPr>
      <w:r>
        <w:rPr>
          <w:color w:val="1F4E79"/>
        </w:rPr>
        <w:t>8. Quantum summary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</w:tcPr>
          <w:p>
            <w:r>
              <w:t>Rescission quantum</w:t>
            </w:r>
          </w:p>
        </w:tc>
        <w:tc>
          <w:tcPr>
            <w:tcW w:type="dxa" w:w="4703"/>
          </w:tcPr>
          <w:p>
            <w:r>
              <w:t>Blank — cost-of-supply rate not on the papers</w:t>
            </w:r>
          </w:p>
        </w:tc>
      </w:tr>
      <w:tr>
        <w:tc>
          <w:tcPr>
            <w:tcW w:type="dxa" w:w="4703"/>
          </w:tcPr>
          <w:p>
            <w:r>
              <w:t>Commission-only quantum</w:t>
            </w:r>
          </w:p>
        </w:tc>
        <w:tc>
          <w:tcPr>
            <w:tcW w:type="dxa" w:w="4703"/>
          </w:tcPr>
          <w:p>
            <w:r>
              <w:t>Blank — commission not on the papers</w:t>
            </w:r>
          </w:p>
        </w:tc>
      </w:tr>
      <w:tr>
        <w:tc>
          <w:tcPr>
            <w:tcW w:type="dxa" w:w="4703"/>
          </w:tcPr>
          <w:p>
            <w:r>
              <w:t>Figures that are on the papers</w:t>
            </w:r>
          </w:p>
        </w:tc>
        <w:tc>
          <w:tcPr>
            <w:tcW w:type="dxa" w:w="4703"/>
          </w:tcPr>
          <w:p>
            <w:r>
              <w:t>Unit 15.100 p/kWh; standing 39.910 p/day; EAC 75,000 kWh; one bill totalling £1,077.65 ex VAT</w:t>
            </w:r>
          </w:p>
        </w:tc>
      </w:tr>
    </w:tbl>
    <w:p>
      <w:pPr>
        <w:pStyle w:val="Heading1"/>
      </w:pPr>
      <w:r>
        <w:rPr>
          <w:color w:val="1F4E79"/>
        </w:rPr>
        <w:t>9. What moves the figures</w:t>
      </w:r>
    </w:p>
    <w:p>
      <w:r>
        <w:rPr>
          <w:rFonts w:ascii="Arial" w:hAnsi="Arial"/>
          <w:b w:val="0"/>
          <w:i w:val="0"/>
          <w:sz w:val="22"/>
        </w:rPr>
        <w:t>A named cost-of-supply series or the supplier’s own cost data would allow a rescission working. A stated commission would allow a commission-only working. The remaining pages of each bill, or a full bill set, would allow money paid (A) to be added up from invoices rather than from the annual estimate.</w:t>
      </w:r>
    </w:p>
    <w:p>
      <w:pPr>
        <w:pStyle w:val="Heading1"/>
      </w:pPr>
      <w:r>
        <w:rPr>
          <w:color w:val="1F4E79"/>
        </w:rPr>
        <w:t>10. Assumptions and missing information</w:t>
      </w:r>
    </w:p>
    <w:p>
      <w:r>
        <w:rPr>
          <w:rFonts w:ascii="Arial" w:hAnsi="Arial"/>
          <w:b w:val="0"/>
          <w:i w:val="0"/>
          <w:sz w:val="22"/>
        </w:rPr>
        <w:t>No cost-of-supply rate has been assumed. No 15% commission and no 40% uplift has been applied. Those percentages appear in some older reports in this wider pack as instructing-party assumptions; they are not taken from the Case 1 papers.</w:t>
      </w:r>
    </w:p>
    <w:p>
      <w:pPr>
        <w:pStyle w:val="Heading1"/>
      </w:pPr>
      <w:r>
        <w:rPr>
          <w:color w:val="1F4E79"/>
        </w:rPr>
        <w:t>11. Document Schedule and Commentary</w:t>
      </w:r>
    </w:p>
    <w:p>
      <w:r>
        <w:rPr>
          <w:rFonts w:ascii="Arial" w:hAnsi="Arial"/>
          <w:b/>
          <w:i w:val="0"/>
          <w:sz w:val="22"/>
        </w:rPr>
        <w:t>Document 1 — Contract_Redacted.pdf</w:t>
      </w:r>
    </w:p>
    <w:p>
      <w:r>
        <w:rPr>
          <w:rFonts w:ascii="Arial" w:hAnsi="Arial"/>
          <w:b w:val="0"/>
          <w:i w:val="0"/>
          <w:sz w:val="22"/>
        </w:rPr>
        <w:t>Date on face: 23 September 2020.</w:t>
      </w:r>
    </w:p>
    <w:p>
      <w:r>
        <w:rPr>
          <w:rFonts w:ascii="Arial" w:hAnsi="Arial"/>
          <w:b w:val="0"/>
          <w:i w:val="0"/>
          <w:sz w:val="22"/>
        </w:rPr>
        <w:t>What it is: British Gas Fixed Price Energy Plan welcome / contract summary.</w:t>
      </w:r>
    </w:p>
    <w:p>
      <w:r>
        <w:rPr>
          <w:rFonts w:ascii="Arial" w:hAnsi="Arial"/>
          <w:b w:val="0"/>
          <w:i w:val="0"/>
          <w:sz w:val="22"/>
        </w:rPr>
        <w:t>How it was used: Source of start and end dates, unit rate, standing charge, EAC, MPAN, account number, broker name, and micro-business status.</w:t>
      </w:r>
    </w:p>
    <w:p>
      <w:r>
        <w:rPr>
          <w:rFonts w:ascii="Arial" w:hAnsi="Arial"/>
          <w:b w:val="0"/>
          <w:i w:val="0"/>
          <w:sz w:val="22"/>
        </w:rPr>
        <w:t>Observations from the face of the document: The broker is named. The document does not state a commission amount. Smart-meter and end-of-plan wording appears on page 1.</w:t>
      </w:r>
    </w:p>
    <w:p>
      <w:r>
        <w:rPr>
          <w:rFonts w:ascii="Arial" w:hAnsi="Arial"/>
          <w:b w:val="0"/>
          <w:i w:val="0"/>
          <w:sz w:val="22"/>
        </w:rPr>
        <w:t>Other possible relevance: The broker name and the account number can be used in any later request for a commission ledger. The stated term (1 April 2021 to 31 March 2024) is a date that may be relevant to limitation.</w:t>
      </w:r>
    </w:p>
    <w:p>
      <w:r>
        <w:rPr>
          <w:rFonts w:ascii="Arial" w:hAnsi="Arial"/>
          <w:b/>
          <w:i w:val="0"/>
          <w:sz w:val="22"/>
        </w:rPr>
        <w:t>Document 2 — Bill_Redacted.pdf</w:t>
      </w:r>
    </w:p>
    <w:p>
      <w:r>
        <w:rPr>
          <w:rFonts w:ascii="Arial" w:hAnsi="Arial"/>
          <w:b w:val="0"/>
          <w:i w:val="0"/>
          <w:sz w:val="22"/>
        </w:rPr>
        <w:t>Date on face: 26 September 2023.</w:t>
      </w:r>
    </w:p>
    <w:p>
      <w:r>
        <w:rPr>
          <w:rFonts w:ascii="Arial" w:hAnsi="Arial"/>
          <w:b w:val="0"/>
          <w:i w:val="0"/>
          <w:sz w:val="22"/>
        </w:rPr>
        <w:t>What it is: British Gas business electricity bill, two pages in the file.</w:t>
      </w:r>
    </w:p>
    <w:p>
      <w:r>
        <w:rPr>
          <w:rFonts w:ascii="Arial" w:hAnsi="Arial"/>
          <w:b w:val="0"/>
          <w:i w:val="0"/>
          <w:sz w:val="22"/>
        </w:rPr>
        <w:t>How it was used: Source of one period’s money totals (energy, standing, CCL, VAT).</w:t>
      </w:r>
    </w:p>
    <w:p>
      <w:r>
        <w:rPr>
          <w:rFonts w:ascii="Arial" w:hAnsi="Arial"/>
          <w:b w:val="0"/>
          <w:i w:val="0"/>
          <w:sz w:val="22"/>
        </w:rPr>
        <w:t>Observations from the face of the document: Page 1 does not print kWh by rate band. The plan end date on the bill (31 March 2024) matches the contract.</w:t>
      </w:r>
    </w:p>
    <w:p>
      <w:r>
        <w:rPr>
          <w:rFonts w:ascii="Arial" w:hAnsi="Arial"/>
          <w:b w:val="0"/>
          <w:i w:val="0"/>
          <w:sz w:val="22"/>
        </w:rPr>
        <w:t>Other possible relevance: A full set of bills for 1 April 2021 to 31 March 2024 would allow money paid to be added up from invoices.</w:t>
      </w:r>
    </w:p>
    <w:p>
      <w:pPr>
        <w:pStyle w:val="Heading1"/>
      </w:pPr>
      <w:r>
        <w:rPr>
          <w:color w:val="1F4E79"/>
        </w:rPr>
        <w:t>12. Observed issues and possible next steps</w:t>
      </w:r>
    </w:p>
    <w:p>
      <w:pPr>
        <w:pStyle w:val="Heading2"/>
      </w:pPr>
      <w:r>
        <w:rPr>
          <w:color w:val="1F4E79"/>
        </w:rPr>
        <w:t>12.1 Observed issues (factual)</w:t>
      </w:r>
    </w:p>
    <w:p>
      <w:r>
        <w:rPr>
          <w:rFonts w:ascii="Arial" w:hAnsi="Arial"/>
          <w:b w:val="0"/>
          <w:i w:val="0"/>
          <w:sz w:val="22"/>
        </w:rPr>
        <w:t>• Commission is not stated on either paper.</w:t>
      </w:r>
    </w:p>
    <w:p>
      <w:r>
        <w:rPr>
          <w:rFonts w:ascii="Arial" w:hAnsi="Arial"/>
          <w:b w:val="0"/>
          <w:i w:val="0"/>
          <w:sz w:val="22"/>
        </w:rPr>
        <w:t>• Cost-of-supply / fair rate is not stated on either paper.</w:t>
      </w:r>
    </w:p>
    <w:p>
      <w:r>
        <w:rPr>
          <w:rFonts w:ascii="Arial" w:hAnsi="Arial"/>
          <w:b w:val="0"/>
          <w:i w:val="0"/>
          <w:sz w:val="22"/>
        </w:rPr>
        <w:t>• Only one bill is in the pack; consumption by band is not on page 1 of that bill.</w:t>
      </w:r>
    </w:p>
    <w:p>
      <w:pPr>
        <w:pStyle w:val="Heading2"/>
      </w:pPr>
      <w:r>
        <w:rPr>
          <w:color w:val="1F4E79"/>
        </w:rPr>
        <w:t>12.2 Information not yet available</w:t>
      </w:r>
    </w:p>
    <w:p>
      <w:r>
        <w:rPr>
          <w:rFonts w:ascii="Arial" w:hAnsi="Arial"/>
          <w:b w:val="0"/>
          <w:i w:val="0"/>
          <w:sz w:val="22"/>
        </w:rPr>
        <w:t>• The amount of any commission paid to Matthew Bunn t/a Matthew Bunn Energy.</w:t>
      </w:r>
    </w:p>
    <w:p>
      <w:r>
        <w:rPr>
          <w:rFonts w:ascii="Arial" w:hAnsi="Arial"/>
          <w:b w:val="0"/>
          <w:i w:val="0"/>
          <w:sz w:val="22"/>
        </w:rPr>
        <w:t>• The supplier’s cost of the energy, or a named public series adopted for this case.</w:t>
      </w:r>
    </w:p>
    <w:p>
      <w:r>
        <w:rPr>
          <w:rFonts w:ascii="Arial" w:hAnsi="Arial"/>
          <w:b w:val="0"/>
          <w:i w:val="0"/>
          <w:sz w:val="22"/>
        </w:rPr>
        <w:t>• The full bill set for the three-year term.</w:t>
      </w:r>
    </w:p>
    <w:p>
      <w:pPr>
        <w:pStyle w:val="Heading2"/>
      </w:pPr>
      <w:r>
        <w:rPr>
          <w:color w:val="1F4E79"/>
        </w:rPr>
        <w:t>12.3 Possible next steps the instructing solicitor may wish to consider</w:t>
      </w:r>
    </w:p>
    <w:p>
      <w:r>
        <w:rPr>
          <w:rFonts w:ascii="Arial" w:hAnsi="Arial"/>
          <w:b w:val="0"/>
          <w:i w:val="0"/>
          <w:sz w:val="22"/>
        </w:rPr>
        <w:t>The following are possibilities only. They are not advice.</w:t>
      </w:r>
    </w:p>
    <w:p>
      <w:r>
        <w:rPr>
          <w:rFonts w:ascii="Arial" w:hAnsi="Arial"/>
          <w:b w:val="0"/>
          <w:i w:val="0"/>
          <w:sz w:val="22"/>
        </w:rPr>
        <w:t>• Request from the supplier a statement of any commission paid on account 603439222.</w:t>
      </w:r>
    </w:p>
    <w:p>
      <w:r>
        <w:rPr>
          <w:rFonts w:ascii="Arial" w:hAnsi="Arial"/>
          <w:b w:val="0"/>
          <w:i w:val="0"/>
          <w:sz w:val="22"/>
        </w:rPr>
        <w:t>• Request the remaining bills, including pages that show kWh by band.</w:t>
      </w:r>
    </w:p>
    <w:p>
      <w:r>
        <w:rPr>
          <w:rFonts w:ascii="Arial" w:hAnsi="Arial"/>
          <w:b w:val="0"/>
          <w:i w:val="0"/>
          <w:sz w:val="22"/>
        </w:rPr>
        <w:t>• Request the supplier’s cost data, or adopt a named published series and record the source.</w:t>
      </w:r>
    </w:p>
    <w:p>
      <w:pPr>
        <w:pStyle w:val="Heading1"/>
      </w:pPr>
      <w:r>
        <w:rPr>
          <w:color w:val="1F4E79"/>
        </w:rPr>
        <w:t>13. Disclosure of material facts — factual comparison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</w:tcPr>
          <w:p>
            <w:r>
              <w:t>Material fact (as described in Expert Tooling)</w:t>
            </w:r>
          </w:p>
        </w:tc>
        <w:tc>
          <w:tcPr>
            <w:tcW w:type="dxa" w:w="3135"/>
          </w:tcPr>
          <w:p>
            <w:r>
              <w:t>Appears in the papers examined?</w:t>
            </w:r>
          </w:p>
        </w:tc>
        <w:tc>
          <w:tcPr>
            <w:tcW w:type="dxa" w:w="3135"/>
          </w:tcPr>
          <w:p>
            <w:r>
              <w:t>Source</w:t>
            </w:r>
          </w:p>
        </w:tc>
      </w:tr>
      <w:tr>
        <w:tc>
          <w:tcPr>
            <w:tcW w:type="dxa" w:w="3135"/>
          </w:tcPr>
          <w:p>
            <w:r>
              <w:t>The amount of the commission</w:t>
            </w:r>
          </w:p>
        </w:tc>
        <w:tc>
          <w:tcPr>
            <w:tcW w:type="dxa" w:w="3135"/>
          </w:tcPr>
          <w:p>
            <w:r>
              <w:t>No</w:t>
            </w:r>
          </w:p>
        </w:tc>
        <w:tc>
          <w:tcPr>
            <w:tcW w:type="dxa" w:w="3135"/>
          </w:tcPr>
          <w:p>
            <w:r>
              <w:t>Neither paper</w:t>
            </w:r>
          </w:p>
        </w:tc>
      </w:tr>
      <w:tr>
        <w:tc>
          <w:tcPr>
            <w:tcW w:type="dxa" w:w="3135"/>
          </w:tcPr>
          <w:p>
            <w:r>
              <w:t>That the commission was added to the unit price</w:t>
            </w:r>
          </w:p>
        </w:tc>
        <w:tc>
          <w:tcPr>
            <w:tcW w:type="dxa" w:w="3135"/>
          </w:tcPr>
          <w:p>
            <w:r>
              <w:t>No</w:t>
            </w:r>
          </w:p>
        </w:tc>
        <w:tc>
          <w:tcPr>
            <w:tcW w:type="dxa" w:w="3135"/>
          </w:tcPr>
          <w:p>
            <w:r>
              <w:t>Neither paper</w:t>
            </w:r>
          </w:p>
        </w:tc>
      </w:tr>
      <w:tr>
        <w:tc>
          <w:tcPr>
            <w:tcW w:type="dxa" w:w="3135"/>
          </w:tcPr>
          <w:p>
            <w:r>
              <w:t>The impact on the length of the contract</w:t>
            </w:r>
          </w:p>
        </w:tc>
        <w:tc>
          <w:tcPr>
            <w:tcW w:type="dxa" w:w="3135"/>
          </w:tcPr>
          <w:p>
            <w:r>
              <w:t>No</w:t>
            </w:r>
          </w:p>
        </w:tc>
        <w:tc>
          <w:tcPr>
            <w:tcW w:type="dxa" w:w="3135"/>
          </w:tcPr>
          <w:p>
            <w:r>
              <w:t>Neither paper</w:t>
            </w:r>
          </w:p>
        </w:tc>
      </w:tr>
      <w:tr>
        <w:tc>
          <w:tcPr>
            <w:tcW w:type="dxa" w:w="3135"/>
          </w:tcPr>
          <w:p>
            <w:r>
              <w:t>That the broker had a discretion in relation to the commission</w:t>
            </w:r>
          </w:p>
        </w:tc>
        <w:tc>
          <w:tcPr>
            <w:tcW w:type="dxa" w:w="3135"/>
          </w:tcPr>
          <w:p>
            <w:r>
              <w:t>No</w:t>
            </w:r>
          </w:p>
        </w:tc>
        <w:tc>
          <w:tcPr>
            <w:tcW w:type="dxa" w:w="3135"/>
          </w:tcPr>
          <w:p>
            <w:r>
              <w:t>Neither paper</w:t>
            </w:r>
          </w:p>
        </w:tc>
      </w:tr>
      <w:tr>
        <w:tc>
          <w:tcPr>
            <w:tcW w:type="dxa" w:w="3135"/>
          </w:tcPr>
          <w:p>
            <w:r>
              <w:t>That the commission was paid up-front</w:t>
            </w:r>
          </w:p>
        </w:tc>
        <w:tc>
          <w:tcPr>
            <w:tcW w:type="dxa" w:w="3135"/>
          </w:tcPr>
          <w:p>
            <w:r>
              <w:t>No</w:t>
            </w:r>
          </w:p>
        </w:tc>
        <w:tc>
          <w:tcPr>
            <w:tcW w:type="dxa" w:w="3135"/>
          </w:tcPr>
          <w:p>
            <w:r>
              <w:t>Neither paper</w:t>
            </w:r>
          </w:p>
        </w:tc>
      </w:tr>
    </w:tbl>
    <w:p/>
    <w:p>
      <w:r>
        <w:rPr>
          <w:rFonts w:ascii="Arial" w:hAnsi="Arial"/>
          <w:b w:val="0"/>
          <w:i w:val="0"/>
          <w:sz w:val="22"/>
        </w:rPr>
        <w:t>This table is a factual record only.</w:t>
      </w:r>
    </w:p>
    <w:p>
      <w:pPr>
        <w:pStyle w:val="Heading1"/>
      </w:pPr>
      <w:r>
        <w:rPr>
          <w:color w:val="1F4E79"/>
        </w:rPr>
        <w:t>14. Limitation — factual snapshot</w:t>
      </w:r>
    </w:p>
    <w:p>
      <w:r>
        <w:rPr>
          <w:rFonts w:ascii="Arial" w:hAnsi="Arial"/>
          <w:b w:val="0"/>
          <w:i w:val="0"/>
          <w:sz w:val="22"/>
        </w:rPr>
        <w:t>Document date of the plan: 23 September 2020. Stated start: 1 April 2021. Stated end: 31 March 2024. Bill date in the pack: 26 September 2023. Date this valuation was prepared: 18 August 2026. No view is expressed on section 32 or any other limitation issue.</w:t>
      </w:r>
    </w:p>
    <w:p>
      <w:pPr>
        <w:pStyle w:val="Heading1"/>
      </w:pPr>
      <w:r>
        <w:rPr>
          <w:color w:val="1F4E79"/>
        </w:rPr>
        <w:t>15. Factual dependencies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</w:tcPr>
          <w:p>
            <w:r>
              <w:t>Item</w:t>
            </w:r>
          </w:p>
        </w:tc>
        <w:tc>
          <w:tcPr>
            <w:tcW w:type="dxa" w:w="3135"/>
          </w:tcPr>
          <w:p>
            <w:r>
              <w:t>Status on the papers</w:t>
            </w:r>
          </w:p>
        </w:tc>
        <w:tc>
          <w:tcPr>
            <w:tcW w:type="dxa" w:w="3135"/>
          </w:tcPr>
          <w:p>
            <w:r>
              <w:t>Effect if unresolved</w:t>
            </w:r>
          </w:p>
        </w:tc>
      </w:tr>
      <w:tr>
        <w:tc>
          <w:tcPr>
            <w:tcW w:type="dxa" w:w="3135"/>
          </w:tcPr>
          <w:p>
            <w:r>
              <w:t>Commission amount</w:t>
            </w:r>
          </w:p>
        </w:tc>
        <w:tc>
          <w:tcPr>
            <w:tcW w:type="dxa" w:w="3135"/>
          </w:tcPr>
          <w:p>
            <w:r>
              <w:t>Not stated</w:t>
            </w:r>
          </w:p>
        </w:tc>
        <w:tc>
          <w:tcPr>
            <w:tcW w:type="dxa" w:w="3135"/>
          </w:tcPr>
          <w:p>
            <w:r>
              <w:t>Commission-only figure cannot be calculated</w:t>
            </w:r>
          </w:p>
        </w:tc>
      </w:tr>
      <w:tr>
        <w:tc>
          <w:tcPr>
            <w:tcW w:type="dxa" w:w="3135"/>
          </w:tcPr>
          <w:p>
            <w:r>
              <w:t>Cost-of-supply rate</w:t>
            </w:r>
          </w:p>
        </w:tc>
        <w:tc>
          <w:tcPr>
            <w:tcW w:type="dxa" w:w="3135"/>
          </w:tcPr>
          <w:p>
            <w:r>
              <w:t>Not stated</w:t>
            </w:r>
          </w:p>
        </w:tc>
        <w:tc>
          <w:tcPr>
            <w:tcW w:type="dxa" w:w="3135"/>
          </w:tcPr>
          <w:p>
            <w:r>
              <w:t>Rescission figure cannot be calculated</w:t>
            </w:r>
          </w:p>
        </w:tc>
      </w:tr>
      <w:tr>
        <w:tc>
          <w:tcPr>
            <w:tcW w:type="dxa" w:w="3135"/>
          </w:tcPr>
          <w:p>
            <w:r>
              <w:t>Full bill set</w:t>
            </w:r>
          </w:p>
        </w:tc>
        <w:tc>
          <w:tcPr>
            <w:tcW w:type="dxa" w:w="3135"/>
          </w:tcPr>
          <w:p>
            <w:r>
              <w:t>One bill only</w:t>
            </w:r>
          </w:p>
        </w:tc>
        <w:tc>
          <w:tcPr>
            <w:tcW w:type="dxa" w:w="3135"/>
          </w:tcPr>
          <w:p>
            <w:r>
              <w:t>Money paid cannot be added up from invoices</w:t>
            </w:r>
          </w:p>
        </w:tc>
      </w:tr>
    </w:tbl>
    <w:p>
      <w:pPr>
        <w:pStyle w:val="Heading1"/>
      </w:pPr>
      <w:r>
        <w:rPr>
          <w:color w:val="1F4E79"/>
        </w:rPr>
        <w:t>16. Basis and confirmation</w:t>
      </w:r>
    </w:p>
    <w:p>
      <w:r>
        <w:rPr>
          <w:rFonts w:ascii="Arial" w:hAnsi="Arial"/>
          <w:b w:val="0"/>
          <w:i w:val="0"/>
          <w:sz w:val="22"/>
        </w:rPr>
        <w:t>This valuation is based only on Contract_Redacted.pdf and Bill_Redacted.pdf. It does not contain legal advice.</w:t>
      </w:r>
    </w:p>
    <w:p>
      <w:r>
        <w:rPr>
          <w:rFonts w:ascii="Arial" w:hAnsi="Arial"/>
          <w:b w:val="0"/>
          <w:i w:val="0"/>
          <w:sz w:val="22"/>
        </w:rPr>
        <w:t>Signature: _______________________________     Date: _______________</w:t>
      </w:r>
    </w:p>
    <w:p>
      <w:r>
        <w:rPr>
          <w:rFonts w:ascii="Arial" w:hAnsi="Arial"/>
          <w:b w:val="0"/>
          <w:i w:val="0"/>
          <w:sz w:val="22"/>
        </w:rPr>
        <w:t>[NAME]</w:t>
      </w:r>
    </w:p>
    <w:p>
      <w:r>
        <w:br w:type="page"/>
      </w:r>
    </w:p>
    <w:p>
      <w:pPr>
        <w:pStyle w:val="Heading1"/>
      </w:pPr>
      <w:r>
        <w:rPr>
          <w:color w:val="1F4E79"/>
        </w:rPr>
        <w:t>Appendices</w:t>
      </w:r>
    </w:p>
    <w:p>
      <w:r>
        <w:rPr>
          <w:rFonts w:ascii="Arial" w:hAnsi="Arial"/>
          <w:b w:val="0"/>
          <w:i/>
          <w:sz w:val="22"/>
        </w:rPr>
        <w:t>Appendix release rule. Each appendix is produced only when the source material required for that appendix is available. Nothing is invented to fill an appendix.</w:t>
      </w:r>
    </w:p>
    <w:p>
      <w:r>
        <w:rPr>
          <w:rFonts w:ascii="Arial" w:hAnsi="Arial"/>
          <w:b w:val="0"/>
          <w:i w:val="0"/>
          <w:sz w:val="22"/>
        </w:rPr>
        <w:t>Appendix A — Calculation tables: not released (cost rate and full consumption missing).</w:t>
      </w:r>
    </w:p>
    <w:p>
      <w:r>
        <w:rPr>
          <w:rFonts w:ascii="Arial" w:hAnsi="Arial"/>
          <w:b w:val="0"/>
          <w:i w:val="0"/>
          <w:sz w:val="22"/>
        </w:rPr>
        <w:t>Appendix B — Wholesale series: not released (no series selected).</w:t>
      </w:r>
    </w:p>
    <w:p>
      <w:r>
        <w:rPr>
          <w:rFonts w:ascii="Arial" w:hAnsi="Arial"/>
          <w:b w:val="0"/>
          <w:i w:val="0"/>
          <w:sz w:val="22"/>
        </w:rPr>
        <w:t>Appendix C — Interest workings: not released (no principal).</w:t>
      </w:r>
    </w:p>
    <w:p>
      <w:r>
        <w:rPr>
          <w:rFonts w:ascii="Arial" w:hAnsi="Arial"/>
          <w:b w:val="0"/>
          <w:i w:val="0"/>
          <w:sz w:val="22"/>
        </w:rPr>
        <w:t>Appendix D — Authorities cited for reference: Wood [2021] EWCA Civ 471; Mothew [1998] Ch 1; Hopcraft / Johnson / Wrench [2025] UKSC 33; Expert Tooling [2025] EWCA Civ 292.</w:t>
      </w:r>
    </w:p>
    <w:p>
      <w:r>
        <w:rPr>
          <w:rFonts w:ascii="Arial" w:hAnsi="Arial"/>
          <w:b w:val="0"/>
          <w:i w:val="0"/>
          <w:sz w:val="22"/>
        </w:rPr>
        <w:t>Appendix E — Glossary: see the FactBridge Data Bridge pack, sheet Glossary_Appendix_E.</w:t>
      </w:r>
    </w:p>
    <w:p>
      <w:r>
        <w:rPr>
          <w:rFonts w:ascii="Arial" w:hAnsi="Arial"/>
          <w:b w:val="0"/>
          <w:i w:val="0"/>
          <w:sz w:val="22"/>
        </w:rPr>
        <w:t>Appendix F — Document Schedule: Section 11 above is the full schedule for this two-paper pack.</w:t>
      </w:r>
    </w:p>
    <w:sectPr w:rsidR="00FC693F" w:rsidRPr="0006063C" w:rsidSect="00034616">
      <w:headerReference w:type="default" r:id="rId9"/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left"/>
    </w:pPr>
    <w:r/>
    <w:r>
      <w:drawing>
        <wp:inline xmlns:a="http://schemas.openxmlformats.org/drawingml/2006/main" xmlns:pic="http://schemas.openxmlformats.org/drawingml/2006/picture">
          <wp:extent cx="335101" cy="50292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mag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5101" cy="502920"/>
                  </a:xfrm>
                  <a:prstGeom prst="rect"/>
                </pic:spPr>
              </pic:pic>
            </a:graphicData>
          </a:graphic>
        </wp:inline>
      </w:drawing>
    </w:r>
    <w:r>
      <w:rPr>
        <w:rFonts w:ascii="Calibri" w:hAnsi="Calibri" w:eastAsia="Calibri"/>
        <w:b/>
        <w:color w:val="7A1F2B"/>
        <w:sz w:val="18"/>
      </w:rPr>
      <w:t xml:space="preserve">    CRIMSON HORSE</w:t>
    </w:r>
  </w:p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