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80"/>
      </w:pPr>
      <w:r>
        <w:rPr>
          <w:rFonts w:ascii="Calibri" w:hAnsi="Calibri" w:eastAsia="Calibri"/>
          <w:b/>
          <w:i w:val="0"/>
          <w:color w:val="7A1F2B"/>
          <w:sz w:val="24"/>
        </w:rPr>
        <w:t>CRIMSON HORSE</w:t>
      </w:r>
    </w:p>
    <w:p>
      <w:r>
        <w:rPr>
          <w:rFonts w:ascii="Calibri" w:hAnsi="Calibri" w:eastAsia="Calibri"/>
          <w:b/>
          <w:i w:val="0"/>
          <w:color w:val="7A1F2B"/>
          <w:sz w:val="44"/>
        </w:rPr>
        <w:t>The benefits of one-case mode</w:t>
      </w:r>
    </w:p>
    <w:p>
      <w:r>
        <w:rPr>
          <w:rFonts w:ascii="Calibri" w:hAnsi="Calibri" w:eastAsia="Calibri"/>
          <w:b w:val="0"/>
          <w:i w:val="0"/>
          <w:color w:val="4A4A4A"/>
          <w:sz w:val="24"/>
        </w:rPr>
        <w:t>Why we do not pour mixed piles into one hopper</w:t>
      </w:r>
    </w:p>
    <w:p>
      <w:pPr>
        <w:pStyle w:val="Heading1"/>
      </w:pPr>
      <w:r>
        <w:rPr>
          <w:rFonts w:ascii="Calibri" w:hAnsi="Calibri"/>
          <w:color w:val="7A1F2B"/>
        </w:rPr>
        <w:t>Quality</w:t>
      </w:r>
    </w:p>
    <w:p>
      <w:pPr>
        <w:spacing w:after="160"/>
      </w:pPr>
      <w:r>
        <w:rPr>
          <w:rFonts w:ascii="Calibri" w:hAnsi="Calibri" w:eastAsia="Calibri"/>
          <w:b w:val="0"/>
          <w:i w:val="0"/>
          <w:color w:val="1A1A1A"/>
          <w:sz w:val="22"/>
        </w:rPr>
        <w:t>A human can read one Bridge and one intake report. A wrong bill from another company is visible. A mortgage SAR cannot quietly become an energy row.</w:t>
      </w:r>
    </w:p>
    <w:p>
      <w:pPr>
        <w:pStyle w:val="Heading1"/>
      </w:pPr>
      <w:r>
        <w:rPr>
          <w:rFonts w:ascii="Calibri" w:hAnsi="Calibri"/>
          <w:color w:val="7A1F2B"/>
        </w:rPr>
        <w:t>Speed that does not hide mistakes</w:t>
      </w:r>
    </w:p>
    <w:p>
      <w:pPr>
        <w:spacing w:after="160"/>
      </w:pPr>
      <w:r>
        <w:rPr>
          <w:rFonts w:ascii="Calibri" w:hAnsi="Calibri" w:eastAsia="Calibri"/>
          <w:b w:val="0"/>
          <w:i w:val="0"/>
          <w:color w:val="1A1A1A"/>
          <w:sz w:val="22"/>
        </w:rPr>
        <w:t>Volume comes from repeating one-case on several desks, not from mixing clients. Five stand-alone PCs, each running one case, is the way toward thirty checked files in an hour. The operator starts five, walks the row, starts five more.</w:t>
      </w:r>
    </w:p>
    <w:p>
      <w:pPr>
        <w:pStyle w:val="Heading1"/>
      </w:pPr>
      <w:r>
        <w:rPr>
          <w:rFonts w:ascii="Calibri" w:hAnsi="Calibri"/>
          <w:color w:val="7A1F2B"/>
        </w:rPr>
        <w:t>Fairness to the lead provider</w:t>
      </w:r>
    </w:p>
    <w:p>
      <w:pPr>
        <w:spacing w:after="160"/>
      </w:pPr>
      <w:r>
        <w:rPr>
          <w:rFonts w:ascii="Calibri" w:hAnsi="Calibri" w:eastAsia="Calibri"/>
          <w:b w:val="0"/>
          <w:i w:val="0"/>
          <w:color w:val="1A1A1A"/>
          <w:sz w:val="22"/>
        </w:rPr>
        <w:t>The intake report goes back the same day. They know what they sent, what was held out, and what is still needed. Files that are short of papers are paused, not lost in a batch.</w:t>
      </w:r>
    </w:p>
    <w:p>
      <w:pPr>
        <w:pStyle w:val="Heading1"/>
      </w:pPr>
      <w:r>
        <w:rPr>
          <w:rFonts w:ascii="Calibri" w:hAnsi="Calibri"/>
          <w:color w:val="7A1F2B"/>
        </w:rPr>
        <w:t>Fairness to the solicitor</w:t>
      </w:r>
    </w:p>
    <w:p>
      <w:pPr>
        <w:spacing w:after="160"/>
      </w:pPr>
      <w:r>
        <w:rPr>
          <w:rFonts w:ascii="Calibri" w:hAnsi="Calibri" w:eastAsia="Calibri"/>
          <w:b w:val="0"/>
          <w:i w:val="0"/>
          <w:color w:val="1A1A1A"/>
          <w:sz w:val="22"/>
        </w:rPr>
        <w:t>Any percentage used is on that case’s instruction note, not inherited from the previous file on the desk.</w:t>
      </w:r>
    </w:p>
    <w:p>
      <w:pPr>
        <w:pStyle w:val="Heading1"/>
      </w:pPr>
      <w:r>
        <w:rPr>
          <w:rFonts w:ascii="Calibri" w:hAnsi="Calibri"/>
          <w:color w:val="7A1F2B"/>
        </w:rPr>
        <w:t>What we refuse</w:t>
      </w:r>
    </w:p>
    <w:p>
      <w:pPr>
        <w:spacing w:after="160"/>
      </w:pPr>
      <w:r>
        <w:rPr>
          <w:rFonts w:ascii="Calibri" w:hAnsi="Calibri" w:eastAsia="Calibri"/>
          <w:b w:val="0"/>
          <w:i w:val="0"/>
          <w:color w:val="1A1A1A"/>
          <w:sz w:val="22"/>
        </w:rPr>
        <w:t>We refuse the convenience of one unsorted zip of twenty clients. That convenience is how a Dunne mortgage pack and a Bocacina energy file become one Bridge. One-case mode exists so that never happens.</w:t>
      </w:r>
    </w:p>
    <w:sectPr w:rsidR="00FC693F" w:rsidRPr="0006063C" w:rsidSect="00034616">
      <w:headerReference w:type="default" r:id="rId9"/>
      <w:footerReference w:type="default" r:id="rId10"/>
      <w:pgSz w:w="12240" w:h="15840"/>
      <w:pgMar w:top="1474" w:right="1077" w:bottom="1020" w:left="1077" w:header="283"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rFonts w:ascii="Calibri" w:hAnsi="Calibri" w:eastAsia="Calibri"/>
        <w:b w:val="0"/>
        <w:i w:val="0"/>
        <w:color w:val="4A4A4A"/>
        <w:sz w:val="16"/>
      </w:rPr>
      <w:t>For bosses, lead providers and operators  ·  18 August 2026  ·  Not legal advice</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
      <w:rPr>
        <w:rFonts w:ascii="Calibri" w:hAnsi="Calibri" w:eastAsia="Calibri"/>
        <w:b/>
        <w:i w:val="0"/>
        <w:color w:val="7A1F2B"/>
        <w:sz w:val="18"/>
      </w:rPr>
      <w:t xml:space="preserve">    CRIMSON HORSE  ·  rollout note</w:t>
    </w:r>
    <w:r>
      <w:drawing>
        <wp:inline xmlns:a="http://schemas.openxmlformats.org/drawingml/2006/main" xmlns:pic="http://schemas.openxmlformats.org/drawingml/2006/picture">
          <wp:extent cx="335101" cy="502920"/>
          <wp:docPr id="1" name="Picture 1"/>
          <wp:cNvGraphicFramePr>
            <a:graphicFrameLocks noChangeAspect="1"/>
          </wp:cNvGraphicFramePr>
          <a:graphic>
            <a:graphicData uri="http://schemas.openxmlformats.org/drawingml/2006/picture">
              <pic:pic>
                <pic:nvPicPr>
                  <pic:cNvPr id="0" name="image.png"/>
                  <pic:cNvPicPr/>
                </pic:nvPicPr>
                <pic:blipFill>
                  <a:blip r:embed="rId1"/>
                  <a:stretch>
                    <a:fillRect/>
                  </a:stretch>
                </pic:blipFill>
                <pic:spPr>
                  <a:xfrm>
                    <a:off x="0" y="0"/>
                    <a:ext cx="335101" cy="5029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